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PaperTitle"/>
      </w:pPr>
      <w:r>
        <w:t>Execution Latency in Multi-Agent Orchestration: A Skynet Operational Case Study</w:t>
      </w:r>
    </w:p>
    <w:p>
      <w:pPr>
        <w:pStyle w:val="AU"/>
      </w:pPr>
      <w:r>
        <w:t>Exzil Calanza</w:t>
      </w:r>
    </w:p>
    <w:p>
      <w:pPr>
        <w:pStyle w:val="PINoSpace"/>
      </w:pPr>
      <w:r>
        <w:t>Independent Researcher, Iloilo City, Philippines</w:t>
      </w:r>
    </w:p>
    <w:p>
      <w:pPr>
        <w:pStyle w:val="PI"/>
      </w:pPr>
      <w:r>
        <w:t>Independent research preprint. IEEE-style formatting only; this work has not been accepted by, published by, certified by, or peer reviewed by IEEE.</w:t>
      </w:r>
    </w:p>
    <w:p>
      <w:pPr>
        <w:pStyle w:val="Abstract"/>
      </w:pPr>
      <w:r>
        <w:rPr>
          <w:b/>
        </w:rPr>
        <w:t xml:space="preserve">ABSTRACT </w:t>
      </w:r>
      <w:r>
        <w:t>This case study analyzes an operational Skynet session managing 21 work items through persistent TODO state, atomic request ledgers, skill routing, browser-profile guards, and anti-drift review. The source run shows how persistent control state can make a complex multi-agent workflow recoverable and how execution, verification, and proof latency become visible system constraints once task intent is externalized. The evidence is a single operational run rather than a controlled benchmark, so the paper treats the result as a bounded case study rather than a general performance claim.</w:t>
      </w:r>
    </w:p>
    <w:p>
      <w:pPr>
        <w:pStyle w:val="IT"/>
      </w:pPr>
      <w:r>
        <w:rPr>
          <w:b/>
        </w:rPr>
        <w:t xml:space="preserve">INDEX TERMS </w:t>
      </w:r>
      <w:r>
        <w:t>¢â‚¬â€ multi-agent orchestration; task decomposition; execution latency; anti-drift control; intent preservation; verification loops</w:t>
      </w:r>
    </w:p>
    <w:p>
      <w:pPr>
        <w:sectPr>
          <w:footerReference w:type="default" r:id="rId25"/>
          <w:type w:val="continuous"/>
          <w:pgSz w:w="11520" w:h="15660" w:code="1"/>
          <w:pgMar w:top="1300" w:right="740" w:bottom="1040" w:left="740" w:header="360" w:footer="640" w:gutter="0"/>
          <w:cols w:num="1" w:space="400"/>
          <w:docGrid w:linePitch="360"/>
        </w:sectPr>
      </w:pPr>
    </w:p>
    <w:p>
      <w:pPr>
        <w:pStyle w:val="H1"/>
      </w:pPr>
      <w:r>
        <w:t>I. INTRODUCTION</w:t>
      </w:r>
    </w:p>
    <w:p>
      <w:pPr>
        <w:pStyle w:val="PARA"/>
      </w:pPr>
      <w:r>
        <w:rPr>
          <w:b/>
        </w:rPr>
        <w:t xml:space="preserve">STUDY TYPE: </w:t>
      </w:r>
      <w:r>
        <w:t xml:space="preserve">Case study. </w:t>
      </w:r>
      <w:r>
        <w:rPr>
          <w:b/>
        </w:rPr>
        <w:t xml:space="preserve">RESEARCH QUESTION: </w:t>
      </w:r>
      <w:r>
        <w:t>How do persistent task state, skill routing, and multi-model coordination preserve intent and bound execution latency in multi-step agent workflows?</w:t>
      </w:r>
    </w:p>
    <w:p>
      <w:pPr>
        <w:pStyle w:val="PARA"/>
      </w:pPr>
      <w:r>
        <w:t>This preprint formalizes the existing public evidence record as a case study. No new experiment, dataset, measurement, or validation is claimed beyond the source article and its cited evidence.</w:t>
      </w:r>
    </w:p>
    <w:p>
      <w:pPr>
        <w:pStyle w:val="PARA"/>
      </w:pPr>
      <w:r>
        <w:t>The important shift is not that one model became omniscient. The shift is that a system can preserve intent across many agents, providers, tools, browser surfaces, proofs, and corrections. When that works, the limiting factor starts to look less like intelligence and more like how fast the system can think, verify, and execute.</w:t>
      </w:r>
    </w:p>
    <w:p>
      <w:pPr>
        <w:pStyle w:val="H1"/>
      </w:pPr>
      <w:r>
        <w:t>II. THE CLAIM</w:t>
      </w:r>
    </w:p>
    <w:p>
      <w:pPr>
        <w:pStyle w:val="PARA"/>
      </w:pPr>
      <w:r>
        <w:t>This is a reflection on a real Skynet run, not a claim of general artificial intelligence. In this session, the operator gave a flooded request: create a Skynet breakthrough reflection, centralize skills, enforce a permanent TODO protocol, connect memory to TODOs, use Claude as anti-drift advisor, use Gemini only under accountability, audit a timelapse video, fix a weak platform post for scientific readers, and prepare for platform and LinkedIn publication through visual CDP proof.</w:t>
      </w:r>
    </w:p>
    <w:p>
      <w:pPr>
        <w:pStyle w:val="PARA"/>
      </w:pPr>
      <w:r>
        <w:t>The operational finding is the control pattern. Skynet does not depend on one model remembering everything in a fragile chat window. It turns the request into persistent TODO state, an atomic request ledger, skill routing, memory synchronization, source verification, video audit, CDP proof, and Claude review. That makes the work recoverable.</w:t>
      </w:r>
    </w:p>
    <w:p>
      <w:pPr>
        <w:pStyle w:val="H1"/>
      </w:pPr>
      <w:r>
        <w:t>III. WHY THE BRAIN METAPHOR FITS, WITH LIMITS</w:t>
      </w:r>
    </w:p>
    <w:p>
      <w:pPr>
        <w:pStyle w:val="PARA"/>
      </w:pPr>
      <w:r>
        <w:t>The useful metaphor is not "one AI brain." It is closer to left and right hemispheres plus temporary task-specific regions. Codex handled implementation, file edits, CLI validation, and local audits. Claude acted as an independent anti-drift reviewer. Gemini remains reserved for specific high-complexity research or generation tasks where its output can be tamed by source checks and visual proof. Browser/CDP lanes become sensory-motor channels rather than memory.</w:t>
      </w:r>
    </w:p>
    <w:p>
      <w:pPr>
        <w:pStyle w:val="PARA"/>
      </w:pPr>
      <w:r>
        <w:t>The metaphor has limits. AI providers are not biological hemispheres, and the system is not conscious. The technical point is specialization plus coordination: different lanes produce, critique, verify, or render. Skynet's job is to keep them from drifting away from the user's actual request.</w:t>
      </w:r>
    </w:p>
    <w:p>
      <w:pPr>
        <w:pStyle w:val="H1"/>
      </w:pPr>
      <w:r>
        <w:t>IV. WHAT MADE THE RUN NON-DRIFTING</w:t>
      </w:r>
    </w:p>
    <w:p>
      <w:pPr>
        <w:sectPr>
          <w:type w:val="continuous"/>
          <w:pgSz w:w="11520" w:h="15660" w:code="1"/>
          <w:pgMar w:top="1300" w:right="740" w:bottom="1040" w:left="740" w:header="360" w:footer="640" w:gutter="0"/>
          <w:cols w:num="2" w:space="360"/>
          <w:docGrid w:linePitch="360"/>
        </w:sectPr>
      </w:pPr>
    </w:p>
    <w:p>
      <w:pPr>
        <w:pStyle w:val="TableTitle"/>
        <w:jc w:val="center"/>
      </w:pPr>
      <w:r>
        <w:t>TABLE 1</w:t>
      </w:r>
    </w:p>
    <w:tbl>
      <w:tblPr>
        <w:tblW w:type="auto" w:w="0"/>
        <w:jc w:val="center"/>
        <w:tblLook w:firstColumn="1" w:firstRow="1" w:lastColumn="0" w:lastRow="0" w:noHBand="0" w:noVBand="1" w:val="04A0"/>
      </w:tblPr>
      <w:tblGrid>
        <w:gridCol w:w="3347"/>
        <w:gridCol w:w="3347"/>
        <w:gridCol w:w="3347"/>
      </w:tblGrid>
      <w:tr>
        <w:tc>
          <w:tcPr>
            <w:tcW w:type="dxa" w:w="3347"/>
            <w:vAlign w:val="center"/>
          </w:tcPr>
          <w:p>
            <w:r>
              <w:rPr>
                <w:rFonts w:ascii="Times New Roman" w:hAnsi="Times New Roman"/>
                <w:b/>
                <w:sz w:val="16"/>
              </w:rPr>
              <w:t>Control layer</w:t>
            </w:r>
          </w:p>
        </w:tc>
        <w:tc>
          <w:tcPr>
            <w:tcW w:type="dxa" w:w="3347"/>
            <w:vAlign w:val="center"/>
          </w:tcPr>
          <w:p>
            <w:r>
              <w:rPr>
                <w:rFonts w:ascii="Times New Roman" w:hAnsi="Times New Roman"/>
                <w:b/>
                <w:sz w:val="16"/>
              </w:rPr>
              <w:t>Artifact</w:t>
            </w:r>
          </w:p>
        </w:tc>
        <w:tc>
          <w:tcPr>
            <w:tcW w:type="dxa" w:w="3347"/>
            <w:vAlign w:val="center"/>
          </w:tcPr>
          <w:p>
            <w:r>
              <w:rPr>
                <w:rFonts w:ascii="Times New Roman" w:hAnsi="Times New Roman"/>
                <w:b/>
                <w:sz w:val="16"/>
              </w:rPr>
              <w:t>Why it matters</w:t>
            </w:r>
          </w:p>
        </w:tc>
      </w:tr>
      <w:tr>
        <w:tc>
          <w:tcPr>
            <w:tcW w:type="dxa" w:w="3347"/>
            <w:vAlign w:val="center"/>
          </w:tcPr>
          <w:p>
            <w:r>
              <w:rPr>
                <w:rFonts w:ascii="Times New Roman" w:hAnsi="Times New Roman"/>
                <w:b w:val="0"/>
                <w:sz w:val="16"/>
              </w:rPr>
              <w:t>TODO continuity</w:t>
            </w:r>
          </w:p>
        </w:tc>
        <w:tc>
          <w:tcPr>
            <w:tcW w:type="dxa" w:w="3347"/>
            <w:vAlign w:val="center"/>
          </w:tcPr>
          <w:p>
            <w:r>
              <w:rPr>
                <w:rFonts w:ascii="Times New Roman" w:hAnsi="Times New Roman"/>
                <w:b w:val="0"/>
                <w:sz w:val="16"/>
              </w:rPr>
              <w:t>`data/todos.json`</w:t>
            </w:r>
          </w:p>
        </w:tc>
        <w:tc>
          <w:tcPr>
            <w:tcW w:type="dxa" w:w="3347"/>
            <w:vAlign w:val="center"/>
          </w:tcPr>
          <w:p>
            <w:r>
              <w:rPr>
                <w:rFonts w:ascii="Times New Roman" w:hAnsi="Times New Roman"/>
                <w:b w:val="0"/>
                <w:sz w:val="16"/>
              </w:rPr>
              <w:t>The active work survives interruptions and prevents false stopping.</w:t>
            </w:r>
          </w:p>
        </w:tc>
      </w:tr>
      <w:tr>
        <w:tc>
          <w:tcPr>
            <w:tcW w:type="dxa" w:w="3347"/>
            <w:vAlign w:val="center"/>
          </w:tcPr>
          <w:p>
            <w:r>
              <w:rPr>
                <w:rFonts w:ascii="Times New Roman" w:hAnsi="Times New Roman"/>
                <w:b w:val="0"/>
                <w:sz w:val="16"/>
              </w:rPr>
              <w:t>Atomic request ledger</w:t>
            </w:r>
          </w:p>
        </w:tc>
        <w:tc>
          <w:tcPr>
            <w:tcW w:type="dxa" w:w="3347"/>
            <w:vAlign w:val="center"/>
          </w:tcPr>
          <w:p>
            <w:r>
              <w:rPr>
                <w:rFonts w:ascii="Times New Roman" w:hAnsi="Times New Roman"/>
                <w:b w:val="0"/>
                <w:sz w:val="16"/>
              </w:rPr>
              <w:t>`data/skynet_atomic_request_ledger.json`</w:t>
            </w:r>
          </w:p>
        </w:tc>
        <w:tc>
          <w:tcPr>
            <w:tcW w:type="dxa" w:w="3347"/>
            <w:vAlign w:val="center"/>
          </w:tcPr>
          <w:p>
            <w:r>
              <w:rPr>
                <w:rFonts w:ascii="Times New Roman" w:hAnsi="Times New Roman"/>
                <w:b w:val="0"/>
                <w:sz w:val="16"/>
              </w:rPr>
              <w:t>Twenty-one user requests were decomposed into proof-bearing work items.</w:t>
            </w:r>
          </w:p>
        </w:tc>
      </w:tr>
      <w:tr>
        <w:tc>
          <w:tcPr>
            <w:tcW w:type="dxa" w:w="3347"/>
            <w:vAlign w:val="center"/>
          </w:tcPr>
          <w:p>
            <w:r>
              <w:rPr>
                <w:rFonts w:ascii="Times New Roman" w:hAnsi="Times New Roman"/>
                <w:b w:val="0"/>
                <w:sz w:val="16"/>
              </w:rPr>
              <w:t>Memory bridge</w:t>
            </w:r>
          </w:p>
        </w:tc>
        <w:tc>
          <w:tcPr>
            <w:tcW w:type="dxa" w:w="3347"/>
            <w:vAlign w:val="center"/>
          </w:tcPr>
          <w:p>
            <w:r>
              <w:rPr>
                <w:rFonts w:ascii="Times New Roman" w:hAnsi="Times New Roman"/>
                <w:b w:val="0"/>
                <w:sz w:val="16"/>
              </w:rPr>
              <w:t>`tools/skynet_todo_memory.py`</w:t>
            </w:r>
          </w:p>
        </w:tc>
        <w:tc>
          <w:tcPr>
            <w:tcW w:type="dxa" w:w="3347"/>
            <w:vAlign w:val="center"/>
          </w:tcPr>
          <w:p>
            <w:r>
              <w:rPr>
                <w:rFonts w:ascii="Times New Roman" w:hAnsi="Times New Roman"/>
                <w:b w:val="0"/>
                <w:sz w:val="16"/>
              </w:rPr>
              <w:t>TODO and ledger digests are synced into persistent orchestrator memory.</w:t>
            </w:r>
          </w:p>
        </w:tc>
      </w:tr>
      <w:tr>
        <w:tc>
          <w:tcPr>
            <w:tcW w:type="dxa" w:w="3347"/>
            <w:vAlign w:val="center"/>
          </w:tcPr>
          <w:p>
            <w:r>
              <w:rPr>
                <w:rFonts w:ascii="Times New Roman" w:hAnsi="Times New Roman"/>
                <w:b w:val="0"/>
                <w:sz w:val="16"/>
              </w:rPr>
              <w:t>Skill routing</w:t>
            </w:r>
          </w:p>
        </w:tc>
        <w:tc>
          <w:tcPr>
            <w:tcW w:type="dxa" w:w="3347"/>
            <w:vAlign w:val="center"/>
          </w:tcPr>
          <w:p>
            <w:r>
              <w:rPr>
                <w:rFonts w:ascii="Times New Roman" w:hAnsi="Times New Roman"/>
                <w:b w:val="0"/>
                <w:sz w:val="16"/>
              </w:rPr>
              <w:t>`data/skynet_skill_registry.json`</w:t>
            </w:r>
          </w:p>
        </w:tc>
        <w:tc>
          <w:tcPr>
            <w:tcW w:type="dxa" w:w="3347"/>
            <w:vAlign w:val="center"/>
          </w:tcPr>
          <w:p>
            <w:r>
              <w:rPr>
                <w:rFonts w:ascii="Times New Roman" w:hAnsi="Times New Roman"/>
                <w:b w:val="0"/>
                <w:sz w:val="16"/>
              </w:rPr>
              <w:t>Skynet skills are selected from a registry, not remembered from stale context.</w:t>
            </w:r>
          </w:p>
        </w:tc>
      </w:tr>
      <w:tr>
        <w:tc>
          <w:tcPr>
            <w:tcW w:type="dxa" w:w="3347"/>
            <w:vAlign w:val="center"/>
          </w:tcPr>
          <w:p>
            <w:r>
              <w:rPr>
                <w:rFonts w:ascii="Times New Roman" w:hAnsi="Times New Roman"/>
                <w:b w:val="0"/>
                <w:sz w:val="16"/>
              </w:rPr>
              <w:t>Advisor review</w:t>
            </w:r>
          </w:p>
        </w:tc>
        <w:tc>
          <w:tcPr>
            <w:tcW w:type="dxa" w:w="3347"/>
            <w:vAlign w:val="center"/>
          </w:tcPr>
          <w:p>
            <w:r>
              <w:rPr>
                <w:rFonts w:ascii="Times New Roman" w:hAnsi="Times New Roman"/>
                <w:b w:val="0"/>
                <w:sz w:val="16"/>
              </w:rPr>
              <w:t>Claude anti-drift verdicts</w:t>
            </w:r>
          </w:p>
        </w:tc>
        <w:tc>
          <w:tcPr>
            <w:tcW w:type="dxa" w:w="3347"/>
            <w:vAlign w:val="center"/>
          </w:tcPr>
          <w:p>
            <w:r>
              <w:rPr>
                <w:rFonts w:ascii="Times New Roman" w:hAnsi="Times New Roman"/>
                <w:b w:val="0"/>
                <w:sz w:val="16"/>
              </w:rPr>
              <w:t>Claude first returned `APPROVE_WITH_FIXES`, then `APPROVE` after corrections.</w:t>
            </w:r>
          </w:p>
        </w:tc>
      </w:tr>
      <w:tr>
        <w:tc>
          <w:tcPr>
            <w:tcW w:type="dxa" w:w="3347"/>
            <w:vAlign w:val="center"/>
          </w:tcPr>
          <w:p>
            <w:r>
              <w:rPr>
                <w:rFonts w:ascii="Times New Roman" w:hAnsi="Times New Roman"/>
                <w:b w:val="0"/>
                <w:sz w:val="16"/>
              </w:rPr>
              <w:t>Visual/browser proof</w:t>
            </w:r>
          </w:p>
        </w:tc>
        <w:tc>
          <w:tcPr>
            <w:tcW w:type="dxa" w:w="3347"/>
            <w:vAlign w:val="center"/>
          </w:tcPr>
          <w:p>
            <w:r>
              <w:rPr>
                <w:rFonts w:ascii="Times New Roman" w:hAnsi="Times New Roman"/>
                <w:b w:val="0"/>
                <w:sz w:val="16"/>
              </w:rPr>
              <w:t>SOCIALS CDP guard on port 9226</w:t>
            </w:r>
          </w:p>
        </w:tc>
        <w:tc>
          <w:tcPr>
            <w:tcW w:type="dxa" w:w="3347"/>
            <w:vAlign w:val="center"/>
          </w:tcPr>
          <w:p>
            <w:r>
              <w:rPr>
                <w:rFonts w:ascii="Times New Roman" w:hAnsi="Times New Roman"/>
                <w:b w:val="0"/>
                <w:sz w:val="16"/>
              </w:rPr>
              <w:t>Live platform/social work stays tied to the visible SOCIALS browser profile.</w:t>
            </w:r>
          </w:p>
        </w:tc>
      </w:tr>
      <w:tr>
        <w:tc>
          <w:tcPr>
            <w:tcW w:type="dxa" w:w="3347"/>
            <w:vAlign w:val="center"/>
          </w:tcPr>
          <w:p>
            <w:r>
              <w:rPr>
                <w:rFonts w:ascii="Times New Roman" w:hAnsi="Times New Roman"/>
                <w:b w:val="0"/>
                <w:sz w:val="16"/>
              </w:rPr>
              <w:t>Video evidence</w:t>
            </w:r>
          </w:p>
        </w:tc>
        <w:tc>
          <w:tcPr>
            <w:tcW w:type="dxa" w:w="3347"/>
            <w:vAlign w:val="center"/>
          </w:tcPr>
          <w:p>
            <w:r>
              <w:rPr>
                <w:rFonts w:ascii="Times New Roman" w:hAnsi="Times New Roman"/>
                <w:b w:val="0"/>
                <w:sz w:val="16"/>
              </w:rPr>
              <w:t>`E:Youtube525525.mp4` audit</w:t>
            </w:r>
          </w:p>
        </w:tc>
        <w:tc>
          <w:tcPr>
            <w:tcW w:type="dxa" w:w="3347"/>
            <w:vAlign w:val="center"/>
          </w:tcPr>
          <w:p>
            <w:r>
              <w:rPr>
                <w:rFonts w:ascii="Times New Roman" w:hAnsi="Times New Roman"/>
                <w:b w:val="0"/>
                <w:sz w:val="16"/>
              </w:rPr>
              <w:t>The timelapse was verified as a 1920x1080, 30 fps, 2:28 MP4 before LinkedIn use.</w:t>
            </w:r>
          </w:p>
        </w:tc>
      </w:tr>
    </w:tbl>
    <w:p>
      <w:pPr>
        <w:sectPr>
          <w:type w:val="continuous"/>
          <w:pgSz w:w="11520" w:h="15660" w:code="1"/>
          <w:pgMar w:top="1300" w:right="740" w:bottom="1040" w:left="740" w:header="360" w:footer="640" w:gutter="0"/>
          <w:cols w:num="1" w:space="360"/>
          <w:docGrid w:linePitch="360"/>
        </w:sectPr>
      </w:pPr>
    </w:p>
    <w:p>
      <w:pPr>
        <w:pStyle w:val="H1"/>
      </w:pPr>
      <w:r>
        <w:t>V. EXTERNAL CONTEXT: AGENTS NEED PROTOCOLS, NOT JUST MODELS</w:t>
      </w:r>
    </w:p>
    <w:p>
      <w:pPr>
        <w:pStyle w:val="PARA"/>
      </w:pPr>
      <w:r>
        <w:t xml:space="preserve">The direction is consistent with the broader AI-agent ecosystem. MCP describes itself as an open standard that lets AI applications connect to external systems such as files, databases, tools, and workflows </w:t>
      </w:r>
      <w:r>
        <w:t>[1]</w:t>
      </w:r>
      <w:r>
        <w:t xml:space="preserve">. Google's A2A announcement frames multi-agent systems as an interoperability problem across vendors, tools, and enterprise applications, with task management, collaboration, and artifacts built into the protocol vocabulary </w:t>
      </w:r>
      <w:r>
        <w:t>[2]</w:t>
      </w:r>
      <w:r>
        <w:t xml:space="preserve">. AutoGen showed earlier that multi-agent conversation frameworks can combine LLMs, tools, code, and human input for complex applications </w:t>
      </w:r>
      <w:r>
        <w:t>[3]</w:t>
      </w:r>
      <w:r>
        <w:t>.</w:t>
      </w:r>
    </w:p>
    <w:p>
      <w:pPr>
        <w:pStyle w:val="PARA"/>
      </w:pPr>
      <w:r>
        <w:t>Those sources point to the same operational lesson: the next leap is less about a single model answering in isolation and more about reliable coordination. A system must know which lane should act, what evidence is required, and when a result is good enough to advance.</w:t>
      </w:r>
    </w:p>
    <w:p>
      <w:pPr>
        <w:pStyle w:val="H1"/>
      </w:pPr>
      <w:r>
        <w:t>VI. THE BOTTLENECK WAS WALL-CLOCK EXECUTION</w:t>
      </w:r>
    </w:p>
    <w:p>
      <w:pPr>
        <w:sectPr>
          <w:type w:val="continuous"/>
          <w:pgSz w:w="11520" w:h="15660" w:code="1"/>
          <w:pgMar w:top="1300" w:right="740" w:bottom="1040" w:left="740" w:header="360" w:footer="640" w:gutter="0"/>
          <w:cols w:num="2" w:space="360"/>
          <w:docGrid w:linePitch="360"/>
        </w:sectPr>
      </w:pPr>
    </w:p>
    <w:p>
      <w:pPr>
        <w:pStyle w:val="TableTitle"/>
        <w:jc w:val="center"/>
      </w:pPr>
      <w:r>
        <w:t>TABLE 2</w:t>
      </w:r>
    </w:p>
    <w:tbl>
      <w:tblPr>
        <w:tblW w:type="auto" w:w="0"/>
        <w:jc w:val="center"/>
        <w:tblLook w:firstColumn="1" w:firstRow="1" w:lastColumn="0" w:lastRow="0" w:noHBand="0" w:noVBand="1" w:val="04A0"/>
      </w:tblPr>
      <w:tblGrid>
        <w:gridCol w:w="3347"/>
        <w:gridCol w:w="3347"/>
        <w:gridCol w:w="3347"/>
      </w:tblGrid>
      <w:tr>
        <w:tc>
          <w:tcPr>
            <w:tcW w:type="dxa" w:w="3347"/>
            <w:vAlign w:val="center"/>
          </w:tcPr>
          <w:p>
            <w:r>
              <w:rPr>
                <w:rFonts w:ascii="Times New Roman" w:hAnsi="Times New Roman"/>
                <w:b/>
                <w:sz w:val="16"/>
              </w:rPr>
              <w:t>Operation</w:t>
            </w:r>
          </w:p>
        </w:tc>
        <w:tc>
          <w:tcPr>
            <w:tcW w:type="dxa" w:w="3347"/>
            <w:vAlign w:val="center"/>
          </w:tcPr>
          <w:p>
            <w:r>
              <w:rPr>
                <w:rFonts w:ascii="Times New Roman" w:hAnsi="Times New Roman"/>
                <w:b/>
                <w:sz w:val="16"/>
              </w:rPr>
              <w:t>Observed time</w:t>
            </w:r>
          </w:p>
        </w:tc>
        <w:tc>
          <w:tcPr>
            <w:tcW w:type="dxa" w:w="3347"/>
            <w:vAlign w:val="center"/>
          </w:tcPr>
          <w:p>
            <w:r>
              <w:rPr>
                <w:rFonts w:ascii="Times New Roman" w:hAnsi="Times New Roman"/>
                <w:b/>
                <w:sz w:val="16"/>
              </w:rPr>
              <w:t>Result</w:t>
            </w:r>
          </w:p>
        </w:tc>
      </w:tr>
      <w:tr>
        <w:tc>
          <w:tcPr>
            <w:tcW w:type="dxa" w:w="3347"/>
            <w:vAlign w:val="center"/>
          </w:tcPr>
          <w:p>
            <w:r>
              <w:rPr>
                <w:rFonts w:ascii="Times New Roman" w:hAnsi="Times New Roman"/>
                <w:b w:val="0"/>
                <w:sz w:val="16"/>
              </w:rPr>
              <w:t>Skill registry audit</w:t>
            </w:r>
          </w:p>
        </w:tc>
        <w:tc>
          <w:tcPr>
            <w:tcW w:type="dxa" w:w="3347"/>
            <w:vAlign w:val="center"/>
          </w:tcPr>
          <w:p>
            <w:r>
              <w:rPr>
                <w:rFonts w:ascii="Times New Roman" w:hAnsi="Times New Roman"/>
                <w:b w:val="0"/>
                <w:sz w:val="16"/>
              </w:rPr>
              <w:t>~1.6s</w:t>
            </w:r>
          </w:p>
        </w:tc>
        <w:tc>
          <w:tcPr>
            <w:tcW w:type="dxa" w:w="3347"/>
            <w:vAlign w:val="center"/>
          </w:tcPr>
          <w:p>
            <w:r>
              <w:rPr>
                <w:rFonts w:ascii="Times New Roman" w:hAnsi="Times New Roman"/>
                <w:b w:val="0"/>
                <w:sz w:val="16"/>
              </w:rPr>
              <w:t>Pass</w:t>
            </w:r>
          </w:p>
        </w:tc>
      </w:tr>
      <w:tr>
        <w:tc>
          <w:tcPr>
            <w:tcW w:type="dxa" w:w="3347"/>
            <w:vAlign w:val="center"/>
          </w:tcPr>
          <w:p>
            <w:r>
              <w:rPr>
                <w:rFonts w:ascii="Times New Roman" w:hAnsi="Times New Roman"/>
                <w:b w:val="0"/>
                <w:sz w:val="16"/>
              </w:rPr>
              <w:t>TODO-memory sync and assert</w:t>
            </w:r>
          </w:p>
        </w:tc>
        <w:tc>
          <w:tcPr>
            <w:tcW w:type="dxa" w:w="3347"/>
            <w:vAlign w:val="center"/>
          </w:tcPr>
          <w:p>
            <w:r>
              <w:rPr>
                <w:rFonts w:ascii="Times New Roman" w:hAnsi="Times New Roman"/>
                <w:b w:val="0"/>
                <w:sz w:val="16"/>
              </w:rPr>
              <w:t>~1.9s</w:t>
            </w:r>
          </w:p>
        </w:tc>
        <w:tc>
          <w:tcPr>
            <w:tcW w:type="dxa" w:w="3347"/>
            <w:vAlign w:val="center"/>
          </w:tcPr>
          <w:p>
            <w:r>
              <w:rPr>
                <w:rFonts w:ascii="Times New Roman" w:hAnsi="Times New Roman"/>
                <w:b w:val="0"/>
                <w:sz w:val="16"/>
              </w:rPr>
              <w:t>Pass</w:t>
            </w:r>
          </w:p>
        </w:tc>
      </w:tr>
      <w:tr>
        <w:tc>
          <w:tcPr>
            <w:tcW w:type="dxa" w:w="3347"/>
            <w:vAlign w:val="center"/>
          </w:tcPr>
          <w:p>
            <w:r>
              <w:rPr>
                <w:rFonts w:ascii="Times New Roman" w:hAnsi="Times New Roman"/>
                <w:b w:val="0"/>
                <w:sz w:val="16"/>
              </w:rPr>
              <w:t>Source liveness and title verification</w:t>
            </w:r>
          </w:p>
        </w:tc>
        <w:tc>
          <w:tcPr>
            <w:tcW w:type="dxa" w:w="3347"/>
            <w:vAlign w:val="center"/>
          </w:tcPr>
          <w:p>
            <w:r>
              <w:rPr>
                <w:rFonts w:ascii="Times New Roman" w:hAnsi="Times New Roman"/>
                <w:b w:val="0"/>
                <w:sz w:val="16"/>
              </w:rPr>
              <w:t>~5.2s</w:t>
            </w:r>
          </w:p>
        </w:tc>
        <w:tc>
          <w:tcPr>
            <w:tcW w:type="dxa" w:w="3347"/>
            <w:vAlign w:val="center"/>
          </w:tcPr>
          <w:p>
            <w:r>
              <w:rPr>
                <w:rFonts w:ascii="Times New Roman" w:hAnsi="Times New Roman"/>
                <w:b w:val="0"/>
                <w:sz w:val="16"/>
              </w:rPr>
              <w:t>3/3 pass</w:t>
            </w:r>
          </w:p>
        </w:tc>
      </w:tr>
      <w:tr>
        <w:tc>
          <w:tcPr>
            <w:tcW w:type="dxa" w:w="3347"/>
            <w:vAlign w:val="center"/>
          </w:tcPr>
          <w:p>
            <w:r>
              <w:rPr>
                <w:rFonts w:ascii="Times New Roman" w:hAnsi="Times New Roman"/>
                <w:b w:val="0"/>
                <w:sz w:val="16"/>
              </w:rPr>
              <w:t>Timelapse video audit</w:t>
            </w:r>
          </w:p>
        </w:tc>
        <w:tc>
          <w:tcPr>
            <w:tcW w:type="dxa" w:w="3347"/>
            <w:vAlign w:val="center"/>
          </w:tcPr>
          <w:p>
            <w:r>
              <w:rPr>
                <w:rFonts w:ascii="Times New Roman" w:hAnsi="Times New Roman"/>
                <w:b w:val="0"/>
                <w:sz w:val="16"/>
              </w:rPr>
              <w:t>~4.0s</w:t>
            </w:r>
          </w:p>
        </w:tc>
        <w:tc>
          <w:tcPr>
            <w:tcW w:type="dxa" w:w="3347"/>
            <w:vAlign w:val="center"/>
          </w:tcPr>
          <w:p>
            <w:r>
              <w:rPr>
                <w:rFonts w:ascii="Times New Roman" w:hAnsi="Times New Roman"/>
                <w:b w:val="0"/>
                <w:sz w:val="16"/>
              </w:rPr>
              <w:t>Pass</w:t>
            </w:r>
          </w:p>
        </w:tc>
      </w:tr>
      <w:tr>
        <w:tc>
          <w:tcPr>
            <w:tcW w:type="dxa" w:w="3347"/>
            <w:vAlign w:val="center"/>
          </w:tcPr>
          <w:p>
            <w:r>
              <w:rPr>
                <w:rFonts w:ascii="Times New Roman" w:hAnsi="Times New Roman"/>
                <w:b w:val="0"/>
                <w:sz w:val="16"/>
              </w:rPr>
              <w:t>Claude anti-drift review, first pass</w:t>
            </w:r>
          </w:p>
        </w:tc>
        <w:tc>
          <w:tcPr>
            <w:tcW w:type="dxa" w:w="3347"/>
            <w:vAlign w:val="center"/>
          </w:tcPr>
          <w:p>
            <w:r>
              <w:rPr>
                <w:rFonts w:ascii="Times New Roman" w:hAnsi="Times New Roman"/>
                <w:b w:val="0"/>
                <w:sz w:val="16"/>
              </w:rPr>
              <w:t>~162.8s</w:t>
            </w:r>
          </w:p>
        </w:tc>
        <w:tc>
          <w:tcPr>
            <w:tcW w:type="dxa" w:w="3347"/>
            <w:vAlign w:val="center"/>
          </w:tcPr>
          <w:p>
            <w:r>
              <w:rPr>
                <w:rFonts w:ascii="Times New Roman" w:hAnsi="Times New Roman"/>
                <w:b w:val="0"/>
                <w:sz w:val="16"/>
              </w:rPr>
              <w:t>APPROVE_WITH_FIXES</w:t>
            </w:r>
          </w:p>
        </w:tc>
      </w:tr>
      <w:tr>
        <w:tc>
          <w:tcPr>
            <w:tcW w:type="dxa" w:w="3347"/>
            <w:vAlign w:val="center"/>
          </w:tcPr>
          <w:p>
            <w:r>
              <w:rPr>
                <w:rFonts w:ascii="Times New Roman" w:hAnsi="Times New Roman"/>
                <w:b w:val="0"/>
                <w:sz w:val="16"/>
              </w:rPr>
              <w:t>Claude anti-drift review, follow-up</w:t>
            </w:r>
          </w:p>
        </w:tc>
        <w:tc>
          <w:tcPr>
            <w:tcW w:type="dxa" w:w="3347"/>
            <w:vAlign w:val="center"/>
          </w:tcPr>
          <w:p>
            <w:r>
              <w:rPr>
                <w:rFonts w:ascii="Times New Roman" w:hAnsi="Times New Roman"/>
                <w:b w:val="0"/>
                <w:sz w:val="16"/>
              </w:rPr>
              <w:t>~55.8s</w:t>
            </w:r>
          </w:p>
        </w:tc>
        <w:tc>
          <w:tcPr>
            <w:tcW w:type="dxa" w:w="3347"/>
            <w:vAlign w:val="center"/>
          </w:tcPr>
          <w:p>
            <w:r>
              <w:rPr>
                <w:rFonts w:ascii="Times New Roman" w:hAnsi="Times New Roman"/>
                <w:b w:val="0"/>
                <w:sz w:val="16"/>
              </w:rPr>
              <w:t>APPROVE</w:t>
            </w:r>
          </w:p>
        </w:tc>
      </w:tr>
      <w:tr>
        <w:tc>
          <w:tcPr>
            <w:tcW w:type="dxa" w:w="3347"/>
            <w:vAlign w:val="center"/>
          </w:tcPr>
          <w:p>
            <w:r>
              <w:rPr>
                <w:rFonts w:ascii="Times New Roman" w:hAnsi="Times New Roman"/>
                <w:b w:val="0"/>
                <w:sz w:val="16"/>
              </w:rPr>
              <w:t>SOCIALS CDP guard</w:t>
            </w:r>
          </w:p>
        </w:tc>
        <w:tc>
          <w:tcPr>
            <w:tcW w:type="dxa" w:w="3347"/>
            <w:vAlign w:val="center"/>
          </w:tcPr>
          <w:p>
            <w:r>
              <w:rPr>
                <w:rFonts w:ascii="Times New Roman" w:hAnsi="Times New Roman"/>
                <w:b w:val="0"/>
                <w:sz w:val="16"/>
              </w:rPr>
              <w:t>~1.3s</w:t>
            </w:r>
          </w:p>
        </w:tc>
        <w:tc>
          <w:tcPr>
            <w:tcW w:type="dxa" w:w="3347"/>
            <w:vAlign w:val="center"/>
          </w:tcPr>
          <w:p>
            <w:r>
              <w:rPr>
                <w:rFonts w:ascii="Times New Roman" w:hAnsi="Times New Roman"/>
                <w:b w:val="0"/>
                <w:sz w:val="16"/>
              </w:rPr>
              <w:t>Pass</w:t>
            </w:r>
          </w:p>
        </w:tc>
      </w:tr>
    </w:tbl>
    <w:p>
      <w:pPr>
        <w:sectPr>
          <w:type w:val="continuous"/>
          <w:pgSz w:w="11520" w:h="15660" w:code="1"/>
          <w:pgMar w:top="1300" w:right="740" w:bottom="1040" w:left="740" w:header="360" w:footer="640" w:gutter="0"/>
          <w:cols w:num="1" w:space="360"/>
          <w:docGrid w:linePitch="360"/>
        </w:sectPr>
      </w:pPr>
    </w:p>
    <w:p>
      <w:pPr>
        <w:pStyle w:val="H1"/>
      </w:pPr>
      <w:r>
        <w:t>VII. THE PRACTICAL FINDING</w:t>
      </w:r>
    </w:p>
    <w:p>
      <w:pPr>
        <w:pStyle w:val="PARA"/>
      </w:pPr>
      <w:r>
        <w:t>Once the right checks exist, intelligence is not the only scarce resource. The slow path is moving work through real surfaces: waiting for model review, verifying sources, auditing video frames, guarding a browser profile, and reconciling TODO/memory state after changes. In this run, execution latency and proof latency constrained workflow completion time and recovery cadence.</w:t>
      </w:r>
    </w:p>
    <w:p>
      <w:pPr>
        <w:pStyle w:val="PARA"/>
      </w:pPr>
      <w:r>
        <w:t>That changes how AI systems should be designed. A smarter model helps, but a slower or driftier execution loop still fails the user. A durable orchestration layer can make a slightly messy multi-model workflow more reliable than a single brilliant response that cannot remember what remains to be done.</w:t>
      </w:r>
    </w:p>
    <w:p>
      <w:pPr>
        <w:pStyle w:val="H1"/>
      </w:pPr>
      <w:r>
        <w:t>VIII. WHAT SKYNET PROVED IN THIS RUN</w:t>
      </w:r>
    </w:p>
    <w:p>
      <w:pPr>
        <w:pStyle w:val="PARA"/>
        <w:ind w:left="259" w:hanging="202"/>
      </w:pPr>
      <w:r>
        <w:t>- Flooded requests can be atomized: the session was decomposed into 21 tracked work items instead of one vague objective.</w:t>
      </w:r>
    </w:p>
    <w:p>
      <w:pPr>
        <w:pStyle w:val="PARA"/>
        <w:ind w:left="259" w:hanging="202"/>
      </w:pPr>
      <w:r>
        <w:t>- Memory can be made accountable: the TODO-memory bridge stores digests so future agents can detect drift.</w:t>
      </w:r>
    </w:p>
    <w:p>
      <w:pPr>
        <w:pStyle w:val="PARA"/>
        <w:ind w:left="259" w:hanging="202"/>
      </w:pPr>
      <w:r>
        <w:t>- Advisors can be useful without taking over: Claude caught real issues in status sync, source hygiene, and scientific framing.</w:t>
      </w:r>
    </w:p>
    <w:p>
      <w:pPr>
        <w:pStyle w:val="PARA"/>
        <w:ind w:left="259" w:hanging="202"/>
      </w:pPr>
      <w:r>
        <w:t>- Visual proof matters: browser and social work are gated behind a visible SOCIALS CDP profile, not invisible assumptions.</w:t>
      </w:r>
    </w:p>
    <w:p>
      <w:pPr>
        <w:pStyle w:val="PARA"/>
        <w:ind w:left="259" w:hanging="202"/>
      </w:pPr>
      <w:r>
        <w:t>- Video can be treated as evidence: the timelapse is audited before it becomes a LinkedIn proof asset.</w:t>
      </w:r>
    </w:p>
    <w:p>
      <w:pPr>
        <w:pStyle w:val="H1"/>
      </w:pPr>
      <w:r>
        <w:t>IX. LIMITATIONS</w:t>
      </w:r>
    </w:p>
    <w:p>
      <w:pPr>
        <w:pStyle w:val="PARA"/>
      </w:pPr>
      <w:r>
        <w:t>This is a single operational run. It does not prove that Skynet is generally optimal, autonomous, or immune to mistakes. One race condition did appear: a parallel assert checked memory before a TODO close and sync had fully settled. The system caught the mismatch and a sequential sync/assert cleared it. That is the correct failure mode: expose drift, then repair it with proof.</w:t>
      </w:r>
    </w:p>
    <w:p>
      <w:pPr>
        <w:pStyle w:val="PARA"/>
      </w:pPr>
      <w:r>
        <w:t>The benchmark also reports observed local timings, not a peer-reviewed model benchmark. It should be read as evidence for an engineering thesis: in real agentic workflows, orchestration speed, verification speed, and recovery speed become first-class performance variables. The Claude anti-drift advisor resolved to `claude-opus-4-6` in this session's direct CLI routing, which is reported here as observed provider behavior rather than hidden or normalized.</w:t>
      </w:r>
    </w:p>
    <w:p>
      <w:pPr>
        <w:pStyle w:val="H1"/>
      </w:pPr>
      <w:r>
        <w:t>X. START SIGNAL, NOT FINISH LINE</w:t>
      </w:r>
    </w:p>
    <w:p>
      <w:pPr>
        <w:pStyle w:val="PARA"/>
      </w:pPr>
      <w:r>
        <w:t>This is the start signal: AI providers can stop being isolated chat boxes and start acting like coordinated specialists inside one accountable operating loop. The system can form new working parts when the task demands it: a TODO lane, memory lane, advisor lane, visual proof lane, video audit lane, and publishing lane.</w:t>
      </w:r>
    </w:p>
    <w:p>
      <w:pPr>
        <w:pStyle w:val="PARA"/>
      </w:pPr>
      <w:r>
        <w:t>The bar now is not only how smart the model is. The bar is how fast the system can think, verify, execute, correct itself, and keep going without losing the user's original intent.</w:t>
      </w:r>
    </w:p>
    <w:p>
      <w:pPr>
        <w:pStyle w:val="H1"/>
      </w:pPr>
      <w:r>
        <w:t>XII. LIMITATIONS AND CLAIM BOUNDARY</w:t>
      </w:r>
    </w:p>
    <w:p>
      <w:pPr>
        <w:pStyle w:val="PARA"/>
      </w:pPr>
      <w:r>
        <w:t>This is a single-run observation with local timing. The source records a race condition during a parallel state assertion and does not establish peer-reviewed or cross-environment performance benchmarks.</w:t>
      </w:r>
    </w:p>
    <w:p>
      <w:pPr>
        <w:pStyle w:val="PARA"/>
      </w:pPr>
      <w:r>
        <w:t>Claim boundary - Use technical case-study framing for the speed claim rather than presenting a universal breakthrough or general performance law.</w:t>
      </w:r>
    </w:p>
    <w:p>
      <w:pPr>
        <w:pStyle w:val="H1"/>
      </w:pPr>
      <w:r>
        <w:t>XIII. REFERENCES AND SOURCE RECORD</w:t>
      </w:r>
    </w:p>
    <w:p>
      <w:pPr>
        <w:pStyle w:val="PARA"/>
        <w:ind w:left="259" w:hanging="202"/>
      </w:pPr>
      <w:r>
        <w:t>- [1] Model Context Protocol documentation: What is MCP?</w:t>
      </w:r>
    </w:p>
    <w:p>
      <w:pPr>
        <w:pStyle w:val="PARA"/>
        <w:ind w:left="259" w:hanging="202"/>
      </w:pPr>
      <w:r>
        <w:t>- [2] Google Developers Blog: Announcing the Agent2Agent Protocol</w:t>
      </w:r>
    </w:p>
    <w:p>
      <w:pPr>
        <w:pStyle w:val="PARA"/>
        <w:ind w:left="259" w:hanging="202"/>
      </w:pPr>
      <w:r>
        <w:t>- [3] AutoGen: Enabling Next-Gen LLM Applications via Multi-Agent Conversation</w:t>
      </w:r>
    </w:p>
    <w:p>
      <w:pPr>
        <w:sectPr>
          <w:type w:val="continuous"/>
          <w:pgSz w:w="11520" w:h="15660" w:code="1"/>
          <w:pgMar w:top="1300" w:right="740" w:bottom="1040" w:left="740" w:header="360" w:footer="640" w:gutter="0"/>
          <w:cols w:num="2" w:space="360"/>
          <w:docGrid w:linePitch="360"/>
        </w:sectPr>
      </w:pPr>
    </w:p>
    <w:p>
      <w:pPr>
        <w:pStyle w:val="H1"/>
      </w:pPr>
      <w:r>
        <w:t>AUTHOR BIOGRAPHY</w:t>
      </w:r>
    </w:p>
    <w:p>
      <w:pPr>
        <w:pStyle w:val="AUBios"/>
      </w:pPr>
      <w:r>
        <w:rPr>
          <w:b/>
        </w:rPr>
        <w:t xml:space="preserve">EXZIL CALANZA </w:t>
      </w:r>
      <w:r>
        <w:t>is an independent researcher and software builder based in Iloilo City, Philippines. His work focuses on browser and desktop automation, reproducible evaluation, agent reliability, workflow verification, and AI-assisted systems engineering.</w:t>
      </w:r>
    </w:p>
    <w:sectPr w:rsidR="0003253A" w:rsidRPr="006A0B53" w:rsidSect="00CB2DB1">
      <w:type w:val="continuous"/>
      <w:pgSz w:w="11520" w:h="15660" w:code="1"/>
      <w:pgMar w:top="1300" w:right="740" w:bottom="1040" w:left="740" w:header="360" w:footer="640" w:gutter="0"/>
      <w:cols w:num="1"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1F025" w14:textId="77777777" w:rsidR="00CB2DB1" w:rsidRDefault="00CB2DB1">
      <w:r>
        <w:separator/>
      </w:r>
    </w:p>
  </w:endnote>
  <w:endnote w:type="continuationSeparator" w:id="0">
    <w:p w14:paraId="2EDD80A7" w14:textId="77777777" w:rsidR="00CB2DB1" w:rsidRDefault="00CB2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LTStd-Roman">
    <w:altName w:val="Times New Roman"/>
    <w:panose1 w:val="00000000000000000000"/>
    <w:charset w:val="00"/>
    <w:family w:val="auto"/>
    <w:notTrueType/>
    <w:pitch w:val="default"/>
    <w:sig w:usb0="00000003" w:usb1="00000000" w:usb2="00000000" w:usb3="00000000" w:csb0="00000001" w:csb1="00000000"/>
  </w:font>
  <w:font w:name="FormataOTF-Bold">
    <w:altName w:val="Calibri"/>
    <w:panose1 w:val="00000000000000000000"/>
    <w:charset w:val="00"/>
    <w:family w:val="auto"/>
    <w:notTrueType/>
    <w:pitch w:val="default"/>
    <w:sig w:usb0="00000003" w:usb1="00000000" w:usb2="00000000" w:usb3="00000000" w:csb0="00000001" w:csb1="00000000"/>
  </w:font>
  <w:font w:name="MTSYN">
    <w:panose1 w:val="00000000000000000000"/>
    <w:charset w:val="00"/>
    <w:family w:val="auto"/>
    <w:notTrueType/>
    <w:pitch w:val="default"/>
    <w:sig w:usb0="00000003" w:usb1="00000000" w:usb2="00000000" w:usb3="00000000" w:csb0="00000001" w:csb1="00000000"/>
  </w:font>
  <w:font w:name="FormataOTF-Reg">
    <w:panose1 w:val="00000000000000000000"/>
    <w:charset w:val="00"/>
    <w:family w:val="auto"/>
    <w:notTrueType/>
    <w:pitch w:val="default"/>
    <w:sig w:usb0="00000003" w:usb1="00000000" w:usb2="00000000" w:usb3="00000000" w:csb0="00000001" w:csb1="00000000"/>
  </w:font>
  <w:font w:name="FormataOTFMd">
    <w:panose1 w:val="00000000000000000000"/>
    <w:charset w:val="00"/>
    <w:family w:val="auto"/>
    <w:notTrueType/>
    <w:pitch w:val="default"/>
    <w:sig w:usb0="00000003" w:usb1="00000000" w:usb2="00000000" w:usb3="00000000" w:csb0="00000001" w:csb1="00000000"/>
  </w:font>
  <w:font w:name="FormataOTF-Italic">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ormataOTFMdIt">
    <w:altName w:val="MV Boli"/>
    <w:panose1 w:val="00000000000000000000"/>
    <w:charset w:val="00"/>
    <w:family w:val="auto"/>
    <w:notTrueType/>
    <w:pitch w:val="default"/>
    <w:sig w:usb0="00000003" w:usb1="00000000" w:usb2="00000000" w:usb3="00000000" w:csb0="00000001" w:csb1="00000000"/>
  </w:font>
  <w:font w:name="Formata-Regular">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ormata OTF">
    <w:altName w:val="Calibri"/>
    <w:panose1 w:val="00000000000000000000"/>
    <w:charset w:val="00"/>
    <w:family w:val="modern"/>
    <w:notTrueType/>
    <w:pitch w:val="variable"/>
    <w:sig w:usb0="8000002F" w:usb1="40000048"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NimbusRomNo9L-ReguItal">
    <w:altName w:val="MS Gothic"/>
    <w:panose1 w:val="00000000000000000000"/>
    <w:charset w:val="80"/>
    <w:family w:val="auto"/>
    <w:notTrueType/>
    <w:pitch w:val="default"/>
    <w:sig w:usb0="00000001" w:usb1="08070000" w:usb2="00000010" w:usb3="00000000" w:csb0="00020000" w:csb1="00000000"/>
  </w:font>
  <w:font w:name="CMMI10">
    <w:altName w:val="Arial Unicode MS"/>
    <w:panose1 w:val="00000000000000000000"/>
    <w:charset w:val="81"/>
    <w:family w:val="auto"/>
    <w:notTrueType/>
    <w:pitch w:val="default"/>
    <w:sig w:usb0="00000001" w:usb1="09060000" w:usb2="00000010" w:usb3="00000000" w:csb0="00080000" w:csb1="00000000"/>
  </w:font>
  <w:font w:name="CMR10">
    <w:altName w:val="MS Gothic"/>
    <w:panose1 w:val="00000000000000000000"/>
    <w:charset w:val="80"/>
    <w:family w:val="auto"/>
    <w:notTrueType/>
    <w:pitch w:val="default"/>
    <w:sig w:usb0="00000001" w:usb1="08070000" w:usb2="00000010" w:usb3="00000000" w:csb0="00020000" w:csb1="00000000"/>
  </w:font>
  <w:font w:name="CMSY7">
    <w:altName w:val="MS Gothic"/>
    <w:panose1 w:val="00000000000000000000"/>
    <w:charset w:val="80"/>
    <w:family w:val="auto"/>
    <w:notTrueType/>
    <w:pitch w:val="default"/>
    <w:sig w:usb0="00000001" w:usb1="08070000" w:usb2="00000010" w:usb3="00000000" w:csb0="00020000" w:csb1="00000000"/>
  </w:font>
  <w:font w:name="Times-Italic">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B976A" w14:textId="77777777" w:rsidR="009C79C4" w:rsidRPr="00B979BB" w:rsidRDefault="009C79C4" w:rsidP="00422716">
    <w:pPr>
      <w:pStyle w:val="Footer"/>
      <w:tabs>
        <w:tab w:val="clear" w:pos="4320"/>
        <w:tab w:val="clear" w:pos="8640"/>
        <w:tab w:val="right" w:pos="10044"/>
      </w:tabs>
      <w:rPr>
        <w:rFonts w:ascii="Helvetica" w:hAnsi="Helvetica"/>
        <w:sz w:val="12"/>
        <w:szCs w:val="12"/>
      </w:rPr>
    </w:pPr>
    <w:r w:rsidRPr="00B979BB">
      <w:rPr>
        <w:rFonts w:ascii="Helvetica" w:hAnsi="Helvetica" w:cs="FormataOTF-Reg"/>
        <w:sz w:val="12"/>
        <w:szCs w:val="12"/>
      </w:rPr>
      <w:t>VOLUME XX, 2017</w:t>
    </w:r>
    <w:r w:rsidRPr="00B979BB">
      <w:rPr>
        <w:rFonts w:ascii="Helvetica" w:hAnsi="Helvetica" w:cs="FormataOTF-Reg"/>
        <w:sz w:val="12"/>
        <w:szCs w:val="12"/>
      </w:rPr>
      <w:tab/>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DA35C" w14:textId="77777777" w:rsidR="009C79C4" w:rsidRPr="00B979BB" w:rsidRDefault="009C79C4" w:rsidP="00E721A9">
    <w:pPr>
      <w:pStyle w:val="Footer"/>
      <w:tabs>
        <w:tab w:val="clear" w:pos="4320"/>
        <w:tab w:val="clear" w:pos="8640"/>
        <w:tab w:val="center" w:pos="9540"/>
      </w:tabs>
      <w:rPr>
        <w:rFonts w:ascii="Helvetica" w:hAnsi="Helvetica"/>
        <w:sz w:val="12"/>
      </w:rPr>
    </w:pPr>
    <w:r w:rsidRPr="00B979BB">
      <w:rPr>
        <w:rFonts w:ascii="Helvetica" w:hAnsi="Helvetica" w:cs="FormataOTF-Reg"/>
        <w:sz w:val="12"/>
        <w:szCs w:val="14"/>
      </w:rPr>
      <w:t>2</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2D52E" w14:textId="77777777" w:rsidR="009C79C4" w:rsidRPr="00B979BB" w:rsidRDefault="009C79C4" w:rsidP="00CD6C55">
    <w:pPr>
      <w:pStyle w:val="Footer"/>
      <w:tabs>
        <w:tab w:val="clear" w:pos="4320"/>
        <w:tab w:val="clear" w:pos="8640"/>
        <w:tab w:val="center" w:pos="9996"/>
      </w:tabs>
      <w:rPr>
        <w:rFonts w:ascii="Helvetica" w:hAnsi="Helvetica"/>
        <w:sz w:val="12"/>
      </w:rPr>
    </w:pPr>
    <w:r w:rsidRPr="00B979BB">
      <w:rPr>
        <w:rFonts w:ascii="Helvetica" w:hAnsi="Helvetica" w:cs="FormataOTF-Reg"/>
        <w:sz w:val="12"/>
        <w:szCs w:val="12"/>
      </w:rPr>
      <w:t>VOLUME XX, 2017</w:t>
    </w:r>
    <w:r w:rsidRPr="00B979BB">
      <w:rPr>
        <w:rFonts w:ascii="Helvetica" w:hAnsi="Helvetica" w:cs="FormataOTF-Reg"/>
        <w:sz w:val="12"/>
        <w:szCs w:val="14"/>
      </w:rPr>
      <w:tab/>
    </w:r>
    <w:r>
      <w:rPr>
        <w:rFonts w:ascii="Helvetica" w:hAnsi="Helvetica" w:cs="FormataOTF-Reg"/>
        <w:sz w:val="12"/>
        <w:szCs w:val="14"/>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F3105" w14:textId="77777777" w:rsidR="009C79C4" w:rsidRPr="00B979BB" w:rsidRDefault="009C79C4" w:rsidP="00E721A9">
    <w:pPr>
      <w:pStyle w:val="Footer"/>
      <w:tabs>
        <w:tab w:val="clear" w:pos="4320"/>
        <w:tab w:val="clear" w:pos="8640"/>
        <w:tab w:val="center" w:pos="9540"/>
      </w:tabs>
      <w:rPr>
        <w:rFonts w:ascii="Helvetica" w:hAnsi="Helvetica"/>
        <w:sz w:val="12"/>
      </w:rPr>
    </w:pPr>
    <w:r>
      <w:rPr>
        <w:rFonts w:ascii="Helvetica" w:hAnsi="Helvetica" w:cs="FormataOTF-Reg"/>
        <w:sz w:val="12"/>
        <w:szCs w:val="14"/>
      </w:rPr>
      <w:t>4</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13273" w14:textId="32EC74B2" w:rsidR="007A706D" w:rsidRPr="00B979BB" w:rsidRDefault="007A706D" w:rsidP="007A706D">
    <w:pPr>
      <w:pStyle w:val="Footer"/>
      <w:tabs>
        <w:tab w:val="clear" w:pos="4320"/>
        <w:tab w:val="clear" w:pos="8640"/>
        <w:tab w:val="center" w:pos="9996"/>
      </w:tabs>
      <w:rPr>
        <w:rFonts w:ascii="Helvetica" w:hAnsi="Helvetica"/>
        <w:sz w:val="12"/>
      </w:rPr>
    </w:pPr>
    <w:r w:rsidRPr="00B979BB">
      <w:rPr>
        <w:rFonts w:ascii="Helvetica" w:hAnsi="Helvetica" w:cs="FormataOTF-Reg"/>
        <w:sz w:val="12"/>
        <w:szCs w:val="12"/>
      </w:rPr>
      <w:t>VOLUME XX, 2017</w:t>
    </w:r>
    <w:r w:rsidRPr="00B979BB">
      <w:rPr>
        <w:rFonts w:ascii="Helvetica" w:hAnsi="Helvetica" w:cs="FormataOTF-Reg"/>
        <w:sz w:val="12"/>
        <w:szCs w:val="14"/>
      </w:rPr>
      <w:tab/>
    </w:r>
    <w:r>
      <w:rPr>
        <w:rFonts w:ascii="Helvetica" w:hAnsi="Helvetica" w:cs="FormataOTF-Reg"/>
        <w:sz w:val="12"/>
        <w:szCs w:val="14"/>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B9B43" w14:textId="4C883922" w:rsidR="005C7DF8" w:rsidRPr="00B979BB" w:rsidRDefault="005C7DF8" w:rsidP="005C7DF8">
    <w:pPr>
      <w:pStyle w:val="Footer"/>
      <w:tabs>
        <w:tab w:val="clear" w:pos="4320"/>
        <w:tab w:val="clear" w:pos="8640"/>
        <w:tab w:val="center" w:pos="9540"/>
      </w:tabs>
      <w:rPr>
        <w:rFonts w:ascii="Helvetica" w:hAnsi="Helvetica"/>
        <w:sz w:val="12"/>
      </w:rPr>
    </w:pPr>
    <w:r>
      <w:rPr>
        <w:rFonts w:ascii="Helvetica" w:hAnsi="Helvetica" w:cs="FormataOTF-Reg"/>
        <w:sz w:val="12"/>
        <w:szCs w:val="14"/>
      </w:rPr>
      <w:t>6</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08833" w14:textId="5184F99D" w:rsidR="005C7DF8" w:rsidRPr="00B979BB" w:rsidRDefault="005C7DF8" w:rsidP="007A706D">
    <w:pPr>
      <w:pStyle w:val="Footer"/>
      <w:tabs>
        <w:tab w:val="clear" w:pos="4320"/>
        <w:tab w:val="clear" w:pos="8640"/>
        <w:tab w:val="center" w:pos="9996"/>
      </w:tabs>
      <w:rPr>
        <w:rFonts w:ascii="Helvetica" w:hAnsi="Helvetica"/>
        <w:sz w:val="12"/>
      </w:rPr>
    </w:pPr>
    <w:r w:rsidRPr="00B979BB">
      <w:rPr>
        <w:rFonts w:ascii="Helvetica" w:hAnsi="Helvetica" w:cs="FormataOTF-Reg"/>
        <w:sz w:val="12"/>
        <w:szCs w:val="12"/>
      </w:rPr>
      <w:t>VOLUME XX, 2017</w:t>
    </w:r>
    <w:r w:rsidRPr="00B979BB">
      <w:rPr>
        <w:rFonts w:ascii="Helvetica" w:hAnsi="Helvetica" w:cs="FormataOTF-Reg"/>
        <w:sz w:val="12"/>
        <w:szCs w:val="14"/>
      </w:rPr>
      <w:tab/>
    </w:r>
    <w:r>
      <w:rPr>
        <w:rFonts w:ascii="Helvetica" w:hAnsi="Helvetica" w:cs="FormataOTF-Reg"/>
        <w:sz w:val="12"/>
        <w:szCs w:val="14"/>
      </w:rPr>
      <w:t>7</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B6DD2" w14:textId="30D85FD1" w:rsidR="005C7DF8" w:rsidRPr="00B979BB" w:rsidRDefault="005C7DF8" w:rsidP="005C7DF8">
    <w:pPr>
      <w:pStyle w:val="Footer"/>
      <w:tabs>
        <w:tab w:val="clear" w:pos="4320"/>
        <w:tab w:val="clear" w:pos="8640"/>
        <w:tab w:val="center" w:pos="9540"/>
      </w:tabs>
      <w:rPr>
        <w:rFonts w:ascii="Helvetica" w:hAnsi="Helvetica"/>
        <w:sz w:val="12"/>
      </w:rPr>
    </w:pPr>
    <w:r>
      <w:rPr>
        <w:rFonts w:ascii="Helvetica" w:hAnsi="Helvetica" w:cs="FormataOTF-Reg"/>
        <w:sz w:val="12"/>
        <w:szCs w:val="14"/>
      </w:rPr>
      <w:t>8</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8603C" w14:textId="77777777" w:rsidR="00CB2DB1" w:rsidRDefault="00CB2DB1">
      <w:r>
        <w:separator/>
      </w:r>
    </w:p>
  </w:footnote>
  <w:footnote w:type="continuationSeparator" w:id="0">
    <w:p w14:paraId="1E081D45" w14:textId="77777777" w:rsidR="00CB2DB1" w:rsidRDefault="00CB2DB1">
      <w:r>
        <w:continuationSeparator/>
      </w:r>
    </w:p>
  </w:footnote>
  <w:footnote w:id="1">
    <w:p w14:paraId="3296347A" w14:textId="77777777" w:rsidR="009C79C4" w:rsidRDefault="009C79C4" w:rsidP="001C597C">
      <w:pPr>
        <w:pStyle w:val="FootnoteText"/>
      </w:pPr>
      <w:r>
        <w:rPr>
          <w:rStyle w:val="FootnoteReference"/>
        </w:rPr>
        <w:footnoteRef/>
      </w:r>
      <w:r>
        <w:t>It is recommended that footnotes be avoided (except for the unnumbered footnote with the receipt date on the first page). Instead, try to integrate the footnote information into the 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5B0C1" w14:textId="77777777" w:rsidR="009C79C4" w:rsidRPr="00E721A9" w:rsidRDefault="009C79C4" w:rsidP="00E721A9">
    <w:pPr>
      <w:pStyle w:val="Header"/>
      <w:pBdr>
        <w:bottom w:val="single" w:sz="4" w:space="3" w:color="auto"/>
      </w:pBdr>
      <w:tabs>
        <w:tab w:val="clear" w:pos="4320"/>
        <w:tab w:val="left" w:pos="5532"/>
      </w:tabs>
      <w:jc w:val="right"/>
      <w:rPr>
        <w:rFonts w:ascii="Formata OTF" w:hAnsi="Formata OTF"/>
        <w:sz w:val="14"/>
        <w:szCs w:val="14"/>
      </w:rPr>
    </w:pPr>
    <w:r>
      <w:rPr>
        <w:rFonts w:ascii="Formata OTF" w:hAnsi="Formata OTF"/>
        <w:noProof/>
        <w:sz w:val="14"/>
        <w:szCs w:val="14"/>
      </w:rPr>
      <w:drawing>
        <wp:inline distT="0" distB="0" distL="0" distR="0" wp14:anchorId="396B900A" wp14:editId="6E819850">
          <wp:extent cx="1169670" cy="297815"/>
          <wp:effectExtent l="0" t="0" r="0" b="6985"/>
          <wp:docPr id="3" name="Picture 3"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Logo"/>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9670" cy="29781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23C04" w14:textId="77777777" w:rsidR="009C79C4" w:rsidRPr="00CB191E" w:rsidRDefault="009C79C4" w:rsidP="00B979BB">
    <w:pPr>
      <w:pStyle w:val="Header"/>
      <w:pBdr>
        <w:bottom w:val="single" w:sz="4" w:space="3" w:color="auto"/>
      </w:pBdr>
      <w:tabs>
        <w:tab w:val="clear" w:pos="4320"/>
        <w:tab w:val="left" w:pos="5472"/>
      </w:tabs>
      <w:rPr>
        <w:rFonts w:ascii="Helvetica" w:hAnsi="Helvetica" w:cs="FormataOTF-Reg"/>
        <w:sz w:val="14"/>
        <w:szCs w:val="14"/>
      </w:rPr>
    </w:pPr>
    <w:r>
      <w:rPr>
        <w:rFonts w:ascii="Formata OTF" w:hAnsi="Formata OTF" w:cs="FormataOTF-Reg"/>
        <w:noProof/>
        <w:sz w:val="14"/>
        <w:szCs w:val="14"/>
      </w:rPr>
      <w:drawing>
        <wp:inline distT="0" distB="0" distL="0" distR="0" wp14:anchorId="7CBD163E" wp14:editId="7D0B38FD">
          <wp:extent cx="977900" cy="170180"/>
          <wp:effectExtent l="0" t="0" r="0" b="1270"/>
          <wp:docPr id="4" name="Picture 4" descr="notaglineLogo-eps-converted-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taglineLogo-eps-converted-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7900" cy="170180"/>
                  </a:xfrm>
                  <a:prstGeom prst="rect">
                    <a:avLst/>
                  </a:prstGeom>
                  <a:noFill/>
                  <a:ln>
                    <a:noFill/>
                  </a:ln>
                </pic:spPr>
              </pic:pic>
            </a:graphicData>
          </a:graphic>
        </wp:inline>
      </w:drawing>
    </w:r>
    <w:r>
      <w:rPr>
        <w:rFonts w:ascii="Formata OTF" w:hAnsi="Formata OTF" w:cs="FormataOTF-Reg"/>
        <w:sz w:val="14"/>
        <w:szCs w:val="14"/>
      </w:rPr>
      <w:tab/>
    </w:r>
    <w:r>
      <w:rPr>
        <w:rFonts w:ascii="Helvetica" w:hAnsi="Helvetica" w:cs="FormataOTF-Reg"/>
        <w:sz w:val="14"/>
        <w:szCs w:val="14"/>
      </w:rPr>
      <w:t>Author Name</w:t>
    </w:r>
    <w:r w:rsidRPr="00B979BB">
      <w:rPr>
        <w:rFonts w:ascii="Helvetica" w:hAnsi="Helvetica" w:cs="FormataOTF-Reg"/>
        <w:sz w:val="14"/>
        <w:szCs w:val="14"/>
      </w:rPr>
      <w:t xml:space="preserve">: </w:t>
    </w:r>
    <w:r w:rsidRPr="00CB191E">
      <w:rPr>
        <w:rFonts w:ascii="Helvetica" w:hAnsi="Helvetica" w:cs="FormataOTF-Reg"/>
        <w:sz w:val="14"/>
        <w:szCs w:val="14"/>
      </w:rPr>
      <w:t>Preparation of Papers for IEEE Access (February 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2F820A2"/>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val="0"/>
      </w:rPr>
    </w:lvl>
    <w:lvl w:ilvl="2">
      <w:start w:val="1"/>
      <w:numFmt w:val="decimal"/>
      <w:pStyle w:val="Heading3"/>
      <w:lvlText w:val="%3)"/>
      <w:legacy w:legacy="1" w:legacySpace="144" w:legacyIndent="144"/>
      <w:lvlJc w:val="left"/>
      <w:rPr>
        <w:i/>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0334CBB"/>
    <w:multiLevelType w:val="multilevel"/>
    <w:tmpl w:val="7C88D4CC"/>
    <w:lvl w:ilvl="0">
      <w:start w:val="2"/>
      <w:numFmt w:val="upperLetter"/>
      <w:pStyle w:val="H2Cont"/>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0532B4F"/>
    <w:multiLevelType w:val="multilevel"/>
    <w:tmpl w:val="1A824A18"/>
    <w:lvl w:ilvl="0">
      <w:start w:val="4"/>
      <w:numFmt w:val="upperLetter"/>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6453F57"/>
    <w:multiLevelType w:val="multilevel"/>
    <w:tmpl w:val="CD96871E"/>
    <w:numStyleLink w:val="H2Restart"/>
  </w:abstractNum>
  <w:abstractNum w:abstractNumId="4" w15:restartNumberingAfterBreak="0">
    <w:nsid w:val="07C07FDF"/>
    <w:multiLevelType w:val="multilevel"/>
    <w:tmpl w:val="CD96871E"/>
    <w:styleLink w:val="H2Restart"/>
    <w:lvl w:ilvl="0">
      <w:start w:val="1"/>
      <w:numFmt w:val="upperLetter"/>
      <w:suff w:val="space"/>
      <w:lvlText w:val="%1."/>
      <w:lvlJc w:val="left"/>
      <w:pPr>
        <w:ind w:left="18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96E735E"/>
    <w:multiLevelType w:val="multilevel"/>
    <w:tmpl w:val="CD96871E"/>
    <w:numStyleLink w:val="H2Restart"/>
  </w:abstractNum>
  <w:abstractNum w:abstractNumId="6" w15:restartNumberingAfterBreak="0">
    <w:nsid w:val="0DEA0F58"/>
    <w:multiLevelType w:val="multilevel"/>
    <w:tmpl w:val="A3CEC990"/>
    <w:styleLink w:val="H2afterH1New"/>
    <w:lvl w:ilvl="0">
      <w:start w:val="1"/>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4232A68"/>
    <w:multiLevelType w:val="multilevel"/>
    <w:tmpl w:val="A3CEC990"/>
    <w:numStyleLink w:val="H2afterH1New"/>
  </w:abstractNum>
  <w:abstractNum w:abstractNumId="8" w15:restartNumberingAfterBreak="0">
    <w:nsid w:val="197F4013"/>
    <w:multiLevelType w:val="multilevel"/>
    <w:tmpl w:val="CD96871E"/>
    <w:numStyleLink w:val="H2Restart"/>
  </w:abstractNum>
  <w:abstractNum w:abstractNumId="9" w15:restartNumberingAfterBreak="0">
    <w:nsid w:val="1AD9271D"/>
    <w:multiLevelType w:val="multilevel"/>
    <w:tmpl w:val="1A824A18"/>
    <w:lvl w:ilvl="0">
      <w:start w:val="4"/>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1F74BC5"/>
    <w:multiLevelType w:val="multilevel"/>
    <w:tmpl w:val="CD96871E"/>
    <w:numStyleLink w:val="H2Restart"/>
  </w:abstractNum>
  <w:abstractNum w:abstractNumId="11"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2" w15:restartNumberingAfterBreak="0">
    <w:nsid w:val="256849EF"/>
    <w:multiLevelType w:val="multilevel"/>
    <w:tmpl w:val="86D4EC90"/>
    <w:lvl w:ilvl="0">
      <w:start w:val="5"/>
      <w:numFmt w:val="upperLetter"/>
      <w:pStyle w:val="H2ConSpaceBefore12pt"/>
      <w:suff w:val="space"/>
      <w:lvlText w:val="%1."/>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A0841DE"/>
    <w:multiLevelType w:val="multilevel"/>
    <w:tmpl w:val="A3CEC990"/>
    <w:numStyleLink w:val="H2afterH1New"/>
  </w:abstractNum>
  <w:abstractNum w:abstractNumId="14" w15:restartNumberingAfterBreak="0">
    <w:nsid w:val="2E5117DB"/>
    <w:multiLevelType w:val="multilevel"/>
    <w:tmpl w:val="CD96871E"/>
    <w:numStyleLink w:val="H2Restart"/>
  </w:abstractNum>
  <w:abstractNum w:abstractNumId="15" w15:restartNumberingAfterBreak="0">
    <w:nsid w:val="2F754583"/>
    <w:multiLevelType w:val="hybridMultilevel"/>
    <w:tmpl w:val="FA38E1D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B34D1D"/>
    <w:multiLevelType w:val="multilevel"/>
    <w:tmpl w:val="CD96871E"/>
    <w:numStyleLink w:val="H2Restart"/>
  </w:abstractNum>
  <w:abstractNum w:abstractNumId="17" w15:restartNumberingAfterBreak="0">
    <w:nsid w:val="33E4726D"/>
    <w:multiLevelType w:val="multilevel"/>
    <w:tmpl w:val="90B4B226"/>
    <w:lvl w:ilvl="0">
      <w:start w:val="1"/>
      <w:numFmt w:val="upperRoman"/>
      <w:pStyle w:val="H1ListNoSpace"/>
      <w:suff w:val="space"/>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4BF4C83"/>
    <w:multiLevelType w:val="multilevel"/>
    <w:tmpl w:val="CD96871E"/>
    <w:numStyleLink w:val="H2Restart"/>
  </w:abstractNum>
  <w:abstractNum w:abstractNumId="19" w15:restartNumberingAfterBreak="0">
    <w:nsid w:val="357A45C8"/>
    <w:multiLevelType w:val="multilevel"/>
    <w:tmpl w:val="CD96871E"/>
    <w:numStyleLink w:val="H2Restart"/>
  </w:abstractNum>
  <w:abstractNum w:abstractNumId="20" w15:restartNumberingAfterBreak="0">
    <w:nsid w:val="37A62AE8"/>
    <w:multiLevelType w:val="hybridMultilevel"/>
    <w:tmpl w:val="31D04022"/>
    <w:lvl w:ilvl="0" w:tplc="04090015">
      <w:start w:val="1"/>
      <w:numFmt w:val="upperLetter"/>
      <w:pStyle w:val="H2AfterH1"/>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877D64"/>
    <w:multiLevelType w:val="singleLevel"/>
    <w:tmpl w:val="37E4B88C"/>
    <w:lvl w:ilvl="0">
      <w:start w:val="1"/>
      <w:numFmt w:val="decimal"/>
      <w:pStyle w:val="References"/>
      <w:lvlText w:val="[%1]"/>
      <w:lvlJc w:val="left"/>
      <w:pPr>
        <w:tabs>
          <w:tab w:val="num" w:pos="1170"/>
        </w:tabs>
        <w:ind w:left="1170" w:hanging="360"/>
      </w:pPr>
      <w:rPr>
        <w:i w:val="0"/>
      </w:rPr>
    </w:lvl>
  </w:abstractNum>
  <w:abstractNum w:abstractNumId="22" w15:restartNumberingAfterBreak="0">
    <w:nsid w:val="3B142FBD"/>
    <w:multiLevelType w:val="multilevel"/>
    <w:tmpl w:val="C2281CF6"/>
    <w:lvl w:ilvl="0">
      <w:start w:val="1"/>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B240BA4"/>
    <w:multiLevelType w:val="multilevel"/>
    <w:tmpl w:val="ACAAA3AA"/>
    <w:lvl w:ilvl="0">
      <w:start w:val="1"/>
      <w:numFmt w:val="decimal"/>
      <w:pStyle w:val="H3"/>
      <w:lvlText w:val="%1)"/>
      <w:lvlJc w:val="left"/>
      <w:pPr>
        <w:tabs>
          <w:tab w:val="num" w:pos="320"/>
        </w:tabs>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3D90722D"/>
    <w:multiLevelType w:val="multilevel"/>
    <w:tmpl w:val="CD96871E"/>
    <w:numStyleLink w:val="H2Restart"/>
  </w:abstractNum>
  <w:abstractNum w:abstractNumId="25" w15:restartNumberingAfterBreak="0">
    <w:nsid w:val="442B60CD"/>
    <w:multiLevelType w:val="multilevel"/>
    <w:tmpl w:val="CD96871E"/>
    <w:numStyleLink w:val="H2Restart"/>
  </w:abstractNum>
  <w:abstractNum w:abstractNumId="26" w15:restartNumberingAfterBreak="0">
    <w:nsid w:val="4A1139B8"/>
    <w:multiLevelType w:val="multilevel"/>
    <w:tmpl w:val="BFB29B88"/>
    <w:lvl w:ilvl="0">
      <w:start w:val="2"/>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A8B0ABB"/>
    <w:multiLevelType w:val="multilevel"/>
    <w:tmpl w:val="CD96871E"/>
    <w:numStyleLink w:val="H2Restart"/>
  </w:abstractNum>
  <w:abstractNum w:abstractNumId="28" w15:restartNumberingAfterBreak="0">
    <w:nsid w:val="4AD925CE"/>
    <w:multiLevelType w:val="multilevel"/>
    <w:tmpl w:val="3D72A97E"/>
    <w:lvl w:ilvl="0">
      <w:start w:val="4"/>
      <w:numFmt w:val="upperLetter"/>
      <w:pStyle w:val="H2ConNoSpace"/>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D6E47F2"/>
    <w:multiLevelType w:val="multilevel"/>
    <w:tmpl w:val="CD96871E"/>
    <w:numStyleLink w:val="H2Restart"/>
  </w:abstractNum>
  <w:abstractNum w:abstractNumId="30" w15:restartNumberingAfterBreak="0">
    <w:nsid w:val="50410D7D"/>
    <w:multiLevelType w:val="multilevel"/>
    <w:tmpl w:val="CD96871E"/>
    <w:numStyleLink w:val="H2Restart"/>
  </w:abstractNum>
  <w:abstractNum w:abstractNumId="31" w15:restartNumberingAfterBreak="0">
    <w:nsid w:val="55D64C9C"/>
    <w:multiLevelType w:val="hybridMultilevel"/>
    <w:tmpl w:val="A45CD83A"/>
    <w:lvl w:ilvl="0" w:tplc="B6E8773A">
      <w:start w:val="1"/>
      <w:numFmt w:val="bullet"/>
      <w:pStyle w:val="REFBUL"/>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021B99"/>
    <w:multiLevelType w:val="multilevel"/>
    <w:tmpl w:val="CD96871E"/>
    <w:numStyleLink w:val="H2Restart"/>
  </w:abstractNum>
  <w:abstractNum w:abstractNumId="33" w15:restartNumberingAfterBreak="0">
    <w:nsid w:val="5E744E82"/>
    <w:multiLevelType w:val="multilevel"/>
    <w:tmpl w:val="CD96871E"/>
    <w:numStyleLink w:val="H2Restart"/>
  </w:abstractNum>
  <w:abstractNum w:abstractNumId="34" w15:restartNumberingAfterBreak="0">
    <w:nsid w:val="61C20FDB"/>
    <w:multiLevelType w:val="multilevel"/>
    <w:tmpl w:val="AE8490E4"/>
    <w:lvl w:ilvl="0">
      <w:start w:val="1"/>
      <w:numFmt w:val="decimal"/>
      <w:pStyle w:val="FigCaption"/>
      <w:lvlText w:val="FIGURE %1."/>
      <w:lvlJc w:val="left"/>
      <w:pPr>
        <w:tabs>
          <w:tab w:val="num" w:pos="760"/>
        </w:tabs>
        <w:ind w:left="0" w:firstLine="0"/>
      </w:pPr>
      <w:rPr>
        <w:rFonts w:hint="default"/>
        <w:color w:val="00629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4D460AA"/>
    <w:multiLevelType w:val="multilevel"/>
    <w:tmpl w:val="CD96871E"/>
    <w:numStyleLink w:val="H2Restart"/>
  </w:abstractNum>
  <w:abstractNum w:abstractNumId="36" w15:restartNumberingAfterBreak="0">
    <w:nsid w:val="651D64E4"/>
    <w:multiLevelType w:val="multilevel"/>
    <w:tmpl w:val="CD96871E"/>
    <w:numStyleLink w:val="H2Restart"/>
  </w:abstractNum>
  <w:abstractNum w:abstractNumId="37" w15:restartNumberingAfterBreak="0">
    <w:nsid w:val="685D76CD"/>
    <w:multiLevelType w:val="multilevel"/>
    <w:tmpl w:val="CD96871E"/>
    <w:numStyleLink w:val="H2Restart"/>
  </w:abstractNum>
  <w:abstractNum w:abstractNumId="38" w15:restartNumberingAfterBreak="0">
    <w:nsid w:val="6BFE4F79"/>
    <w:multiLevelType w:val="hybridMultilevel"/>
    <w:tmpl w:val="2E865934"/>
    <w:lvl w:ilvl="0" w:tplc="6B505B88">
      <w:start w:val="1"/>
      <w:numFmt w:val="upperLetter"/>
      <w:pStyle w:val="H2First"/>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72FC6D80"/>
    <w:multiLevelType w:val="multilevel"/>
    <w:tmpl w:val="CD96871E"/>
    <w:numStyleLink w:val="H2Restart"/>
  </w:abstractNum>
  <w:num w:numId="1" w16cid:durableId="146632016">
    <w:abstractNumId w:val="0"/>
  </w:num>
  <w:num w:numId="2" w16cid:durableId="2139685392">
    <w:abstractNumId w:val="11"/>
  </w:num>
  <w:num w:numId="3" w16cid:durableId="1730304559">
    <w:abstractNumId w:val="21"/>
  </w:num>
  <w:num w:numId="4" w16cid:durableId="1904947642">
    <w:abstractNumId w:val="17"/>
  </w:num>
  <w:num w:numId="5" w16cid:durableId="2086564019">
    <w:abstractNumId w:val="34"/>
  </w:num>
  <w:num w:numId="6" w16cid:durableId="1720010044">
    <w:abstractNumId w:val="23"/>
  </w:num>
  <w:num w:numId="7" w16cid:durableId="1589195024">
    <w:abstractNumId w:val="9"/>
  </w:num>
  <w:num w:numId="8" w16cid:durableId="1483892291">
    <w:abstractNumId w:val="13"/>
  </w:num>
  <w:num w:numId="9" w16cid:durableId="572131377">
    <w:abstractNumId w:val="28"/>
  </w:num>
  <w:num w:numId="10" w16cid:durableId="282537363">
    <w:abstractNumId w:val="6"/>
  </w:num>
  <w:num w:numId="11" w16cid:durableId="653067656">
    <w:abstractNumId w:val="33"/>
  </w:num>
  <w:num w:numId="12" w16cid:durableId="255796949">
    <w:abstractNumId w:val="29"/>
  </w:num>
  <w:num w:numId="13" w16cid:durableId="511922190">
    <w:abstractNumId w:val="4"/>
  </w:num>
  <w:num w:numId="14" w16cid:durableId="1166827748">
    <w:abstractNumId w:val="5"/>
    <w:lvlOverride w:ilvl="0">
      <w:lvl w:ilvl="0">
        <w:start w:val="1"/>
        <w:numFmt w:val="upperLetter"/>
        <w:suff w:val="space"/>
        <w:lvlText w:val="%1."/>
        <w:lvlJc w:val="left"/>
        <w:pPr>
          <w:ind w:left="0" w:firstLine="0"/>
        </w:pPr>
        <w:rPr>
          <w:rFonts w:hint="default"/>
        </w:rPr>
      </w:lvl>
    </w:lvlOverride>
  </w:num>
  <w:num w:numId="15" w16cid:durableId="1487938667">
    <w:abstractNumId w:val="12"/>
  </w:num>
  <w:num w:numId="16" w16cid:durableId="1982534741">
    <w:abstractNumId w:val="26"/>
  </w:num>
  <w:num w:numId="17" w16cid:durableId="13933084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95729568">
    <w:abstractNumId w:val="38"/>
  </w:num>
  <w:num w:numId="19" w16cid:durableId="269047845">
    <w:abstractNumId w:val="3"/>
  </w:num>
  <w:num w:numId="20" w16cid:durableId="909580657">
    <w:abstractNumId w:val="2"/>
  </w:num>
  <w:num w:numId="21" w16cid:durableId="373579168">
    <w:abstractNumId w:val="24"/>
  </w:num>
  <w:num w:numId="22" w16cid:durableId="1745251843">
    <w:abstractNumId w:val="8"/>
  </w:num>
  <w:num w:numId="23" w16cid:durableId="2111774571">
    <w:abstractNumId w:val="16"/>
  </w:num>
  <w:num w:numId="24" w16cid:durableId="143159150">
    <w:abstractNumId w:val="36"/>
  </w:num>
  <w:num w:numId="25" w16cid:durableId="1312634794">
    <w:abstractNumId w:val="27"/>
  </w:num>
  <w:num w:numId="26" w16cid:durableId="237444995">
    <w:abstractNumId w:val="32"/>
  </w:num>
  <w:num w:numId="27" w16cid:durableId="376199287">
    <w:abstractNumId w:val="18"/>
  </w:num>
  <w:num w:numId="28" w16cid:durableId="1079518982">
    <w:abstractNumId w:val="25"/>
  </w:num>
  <w:num w:numId="29" w16cid:durableId="1536120966">
    <w:abstractNumId w:val="39"/>
  </w:num>
  <w:num w:numId="30" w16cid:durableId="1012683639">
    <w:abstractNumId w:val="10"/>
  </w:num>
  <w:num w:numId="31" w16cid:durableId="581259744">
    <w:abstractNumId w:val="37"/>
  </w:num>
  <w:num w:numId="32" w16cid:durableId="550194706">
    <w:abstractNumId w:val="19"/>
  </w:num>
  <w:num w:numId="33" w16cid:durableId="986592793">
    <w:abstractNumId w:val="35"/>
  </w:num>
  <w:num w:numId="34" w16cid:durableId="131562090">
    <w:abstractNumId w:val="30"/>
  </w:num>
  <w:num w:numId="35" w16cid:durableId="215555830">
    <w:abstractNumId w:val="22"/>
  </w:num>
  <w:num w:numId="36" w16cid:durableId="752821514">
    <w:abstractNumId w:val="14"/>
  </w:num>
  <w:num w:numId="37" w16cid:durableId="102464003">
    <w:abstractNumId w:val="20"/>
  </w:num>
  <w:num w:numId="38" w16cid:durableId="26297219">
    <w:abstractNumId w:val="15"/>
  </w:num>
  <w:num w:numId="39" w16cid:durableId="631059541">
    <w:abstractNumId w:val="7"/>
  </w:num>
  <w:num w:numId="40" w16cid:durableId="462891185">
    <w:abstractNumId w:val="1"/>
  </w:num>
  <w:num w:numId="41" w16cid:durableId="96431312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77785744">
    <w:abstractNumId w:val="3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D2D"/>
    <w:rsid w:val="0000046F"/>
    <w:rsid w:val="000005DE"/>
    <w:rsid w:val="00001006"/>
    <w:rsid w:val="00002951"/>
    <w:rsid w:val="00015E73"/>
    <w:rsid w:val="00015E9A"/>
    <w:rsid w:val="0001799E"/>
    <w:rsid w:val="00017C56"/>
    <w:rsid w:val="00021C67"/>
    <w:rsid w:val="00023D75"/>
    <w:rsid w:val="00024A01"/>
    <w:rsid w:val="00027AA1"/>
    <w:rsid w:val="0003250B"/>
    <w:rsid w:val="0003253A"/>
    <w:rsid w:val="00033D56"/>
    <w:rsid w:val="00034A7F"/>
    <w:rsid w:val="00035315"/>
    <w:rsid w:val="00040C78"/>
    <w:rsid w:val="00041819"/>
    <w:rsid w:val="00043A88"/>
    <w:rsid w:val="000518DD"/>
    <w:rsid w:val="00052666"/>
    <w:rsid w:val="00052968"/>
    <w:rsid w:val="00057E9A"/>
    <w:rsid w:val="00060D60"/>
    <w:rsid w:val="00061511"/>
    <w:rsid w:val="00061B24"/>
    <w:rsid w:val="00065CD5"/>
    <w:rsid w:val="00067C21"/>
    <w:rsid w:val="00070737"/>
    <w:rsid w:val="000714C3"/>
    <w:rsid w:val="00071D5E"/>
    <w:rsid w:val="00076966"/>
    <w:rsid w:val="00083EC4"/>
    <w:rsid w:val="000844AB"/>
    <w:rsid w:val="00084BD2"/>
    <w:rsid w:val="00090D81"/>
    <w:rsid w:val="00090E84"/>
    <w:rsid w:val="0009131B"/>
    <w:rsid w:val="00091F92"/>
    <w:rsid w:val="00092C74"/>
    <w:rsid w:val="00094BAA"/>
    <w:rsid w:val="000A1FA2"/>
    <w:rsid w:val="000A3B16"/>
    <w:rsid w:val="000A40E6"/>
    <w:rsid w:val="000B2C18"/>
    <w:rsid w:val="000B330B"/>
    <w:rsid w:val="000B7135"/>
    <w:rsid w:val="000C01F4"/>
    <w:rsid w:val="000C09C8"/>
    <w:rsid w:val="000C0E3B"/>
    <w:rsid w:val="000C221B"/>
    <w:rsid w:val="000C426E"/>
    <w:rsid w:val="000D3A5A"/>
    <w:rsid w:val="000D4A20"/>
    <w:rsid w:val="000D6320"/>
    <w:rsid w:val="000E4447"/>
    <w:rsid w:val="000F25D7"/>
    <w:rsid w:val="000F33CB"/>
    <w:rsid w:val="000F5003"/>
    <w:rsid w:val="0010090B"/>
    <w:rsid w:val="00104663"/>
    <w:rsid w:val="00104CB0"/>
    <w:rsid w:val="00105925"/>
    <w:rsid w:val="00107070"/>
    <w:rsid w:val="001072E6"/>
    <w:rsid w:val="001120C4"/>
    <w:rsid w:val="0011425D"/>
    <w:rsid w:val="001146BF"/>
    <w:rsid w:val="0011479C"/>
    <w:rsid w:val="00114A56"/>
    <w:rsid w:val="00117D9A"/>
    <w:rsid w:val="00121CF0"/>
    <w:rsid w:val="00121E38"/>
    <w:rsid w:val="001316F6"/>
    <w:rsid w:val="00134A06"/>
    <w:rsid w:val="0014000F"/>
    <w:rsid w:val="0014141F"/>
    <w:rsid w:val="00141D98"/>
    <w:rsid w:val="00144E81"/>
    <w:rsid w:val="00151703"/>
    <w:rsid w:val="0016308D"/>
    <w:rsid w:val="00164873"/>
    <w:rsid w:val="00165F70"/>
    <w:rsid w:val="001661D9"/>
    <w:rsid w:val="00166BEA"/>
    <w:rsid w:val="00170818"/>
    <w:rsid w:val="0017288F"/>
    <w:rsid w:val="00174020"/>
    <w:rsid w:val="00174D84"/>
    <w:rsid w:val="00176753"/>
    <w:rsid w:val="001777E5"/>
    <w:rsid w:val="00182839"/>
    <w:rsid w:val="00185AFE"/>
    <w:rsid w:val="00186F4C"/>
    <w:rsid w:val="0019262C"/>
    <w:rsid w:val="001955E9"/>
    <w:rsid w:val="0019723F"/>
    <w:rsid w:val="001A4A79"/>
    <w:rsid w:val="001A773F"/>
    <w:rsid w:val="001A7827"/>
    <w:rsid w:val="001B1B9C"/>
    <w:rsid w:val="001B2F14"/>
    <w:rsid w:val="001B4688"/>
    <w:rsid w:val="001C2E5E"/>
    <w:rsid w:val="001C3B16"/>
    <w:rsid w:val="001C495F"/>
    <w:rsid w:val="001C597C"/>
    <w:rsid w:val="001D0247"/>
    <w:rsid w:val="001D3924"/>
    <w:rsid w:val="001D3AED"/>
    <w:rsid w:val="001D4C0D"/>
    <w:rsid w:val="001D5027"/>
    <w:rsid w:val="001D5163"/>
    <w:rsid w:val="001D5407"/>
    <w:rsid w:val="001D6F48"/>
    <w:rsid w:val="001E3E87"/>
    <w:rsid w:val="001E4083"/>
    <w:rsid w:val="001E4698"/>
    <w:rsid w:val="001E69B5"/>
    <w:rsid w:val="001E6A66"/>
    <w:rsid w:val="001E6CFA"/>
    <w:rsid w:val="001F0601"/>
    <w:rsid w:val="001F4FA0"/>
    <w:rsid w:val="001F73C8"/>
    <w:rsid w:val="00200B38"/>
    <w:rsid w:val="00201A76"/>
    <w:rsid w:val="002025F9"/>
    <w:rsid w:val="00205C43"/>
    <w:rsid w:val="00207411"/>
    <w:rsid w:val="00210142"/>
    <w:rsid w:val="00210E41"/>
    <w:rsid w:val="00211824"/>
    <w:rsid w:val="002141C8"/>
    <w:rsid w:val="00215F8D"/>
    <w:rsid w:val="002170E6"/>
    <w:rsid w:val="00220965"/>
    <w:rsid w:val="00223B9B"/>
    <w:rsid w:val="00227DAA"/>
    <w:rsid w:val="00231E14"/>
    <w:rsid w:val="00241628"/>
    <w:rsid w:val="00242C14"/>
    <w:rsid w:val="002467D5"/>
    <w:rsid w:val="00252416"/>
    <w:rsid w:val="00253CFC"/>
    <w:rsid w:val="002560D8"/>
    <w:rsid w:val="002633DB"/>
    <w:rsid w:val="0026796B"/>
    <w:rsid w:val="00275282"/>
    <w:rsid w:val="0028303E"/>
    <w:rsid w:val="00284674"/>
    <w:rsid w:val="00285B40"/>
    <w:rsid w:val="00285DD4"/>
    <w:rsid w:val="00293D7A"/>
    <w:rsid w:val="00295093"/>
    <w:rsid w:val="002967D4"/>
    <w:rsid w:val="002969CB"/>
    <w:rsid w:val="002A000F"/>
    <w:rsid w:val="002A048A"/>
    <w:rsid w:val="002A14BA"/>
    <w:rsid w:val="002A24AD"/>
    <w:rsid w:val="002A3234"/>
    <w:rsid w:val="002A4118"/>
    <w:rsid w:val="002A486E"/>
    <w:rsid w:val="002A529C"/>
    <w:rsid w:val="002B0C37"/>
    <w:rsid w:val="002B17AE"/>
    <w:rsid w:val="002B197E"/>
    <w:rsid w:val="002B379B"/>
    <w:rsid w:val="002B5DFD"/>
    <w:rsid w:val="002B62BC"/>
    <w:rsid w:val="002B7F19"/>
    <w:rsid w:val="002C2CCF"/>
    <w:rsid w:val="002C419A"/>
    <w:rsid w:val="002C707C"/>
    <w:rsid w:val="002D11FD"/>
    <w:rsid w:val="002D26B0"/>
    <w:rsid w:val="002D3E91"/>
    <w:rsid w:val="002D4A44"/>
    <w:rsid w:val="002D54D7"/>
    <w:rsid w:val="002D7313"/>
    <w:rsid w:val="002E02B1"/>
    <w:rsid w:val="002E396B"/>
    <w:rsid w:val="002E3D2C"/>
    <w:rsid w:val="002F1879"/>
    <w:rsid w:val="002F1D45"/>
    <w:rsid w:val="002F3420"/>
    <w:rsid w:val="002F42B2"/>
    <w:rsid w:val="002F63A1"/>
    <w:rsid w:val="003036BA"/>
    <w:rsid w:val="00304392"/>
    <w:rsid w:val="0030758F"/>
    <w:rsid w:val="00313105"/>
    <w:rsid w:val="003141B6"/>
    <w:rsid w:val="003146F4"/>
    <w:rsid w:val="00321775"/>
    <w:rsid w:val="00321EB5"/>
    <w:rsid w:val="00322DAA"/>
    <w:rsid w:val="00323E56"/>
    <w:rsid w:val="00327067"/>
    <w:rsid w:val="00327078"/>
    <w:rsid w:val="00330A48"/>
    <w:rsid w:val="00332A2D"/>
    <w:rsid w:val="0033583E"/>
    <w:rsid w:val="00336145"/>
    <w:rsid w:val="0034128C"/>
    <w:rsid w:val="003412F9"/>
    <w:rsid w:val="003415A6"/>
    <w:rsid w:val="00344CE5"/>
    <w:rsid w:val="003469D0"/>
    <w:rsid w:val="003504E9"/>
    <w:rsid w:val="003519F1"/>
    <w:rsid w:val="00351EDC"/>
    <w:rsid w:val="003520A4"/>
    <w:rsid w:val="00353818"/>
    <w:rsid w:val="003541F4"/>
    <w:rsid w:val="00355460"/>
    <w:rsid w:val="0035702D"/>
    <w:rsid w:val="00360535"/>
    <w:rsid w:val="003628EB"/>
    <w:rsid w:val="0036342D"/>
    <w:rsid w:val="00363602"/>
    <w:rsid w:val="003639EB"/>
    <w:rsid w:val="00364197"/>
    <w:rsid w:val="00373A9F"/>
    <w:rsid w:val="003756EB"/>
    <w:rsid w:val="003763CB"/>
    <w:rsid w:val="00380D62"/>
    <w:rsid w:val="00381001"/>
    <w:rsid w:val="0038145D"/>
    <w:rsid w:val="00382E5B"/>
    <w:rsid w:val="00383853"/>
    <w:rsid w:val="00384980"/>
    <w:rsid w:val="003874CB"/>
    <w:rsid w:val="00390B86"/>
    <w:rsid w:val="00391E44"/>
    <w:rsid w:val="00393CE8"/>
    <w:rsid w:val="003940D4"/>
    <w:rsid w:val="003A0AEE"/>
    <w:rsid w:val="003A5252"/>
    <w:rsid w:val="003A7420"/>
    <w:rsid w:val="003A75E8"/>
    <w:rsid w:val="003B2723"/>
    <w:rsid w:val="003B3AC6"/>
    <w:rsid w:val="003B3FFE"/>
    <w:rsid w:val="003C1744"/>
    <w:rsid w:val="003C615D"/>
    <w:rsid w:val="003D112E"/>
    <w:rsid w:val="003D12A0"/>
    <w:rsid w:val="003D1A98"/>
    <w:rsid w:val="003D37D6"/>
    <w:rsid w:val="003D3FE2"/>
    <w:rsid w:val="003D4E93"/>
    <w:rsid w:val="003D640F"/>
    <w:rsid w:val="003D7316"/>
    <w:rsid w:val="003D7D09"/>
    <w:rsid w:val="003E17F3"/>
    <w:rsid w:val="003F7D7E"/>
    <w:rsid w:val="00402953"/>
    <w:rsid w:val="00410A00"/>
    <w:rsid w:val="0041108E"/>
    <w:rsid w:val="0041189C"/>
    <w:rsid w:val="004127AE"/>
    <w:rsid w:val="0041399D"/>
    <w:rsid w:val="00416591"/>
    <w:rsid w:val="00416D80"/>
    <w:rsid w:val="00417315"/>
    <w:rsid w:val="00420CA6"/>
    <w:rsid w:val="00422716"/>
    <w:rsid w:val="004360DF"/>
    <w:rsid w:val="00440B9E"/>
    <w:rsid w:val="004423FC"/>
    <w:rsid w:val="0044242A"/>
    <w:rsid w:val="00442439"/>
    <w:rsid w:val="00442B34"/>
    <w:rsid w:val="00443AB2"/>
    <w:rsid w:val="00444E10"/>
    <w:rsid w:val="004462AC"/>
    <w:rsid w:val="0044635D"/>
    <w:rsid w:val="00446720"/>
    <w:rsid w:val="004511F5"/>
    <w:rsid w:val="004570C8"/>
    <w:rsid w:val="00457310"/>
    <w:rsid w:val="00457471"/>
    <w:rsid w:val="0045757E"/>
    <w:rsid w:val="00460D49"/>
    <w:rsid w:val="004642B5"/>
    <w:rsid w:val="00465AB7"/>
    <w:rsid w:val="00465CAE"/>
    <w:rsid w:val="004701DE"/>
    <w:rsid w:val="004702C9"/>
    <w:rsid w:val="00472E27"/>
    <w:rsid w:val="004772EC"/>
    <w:rsid w:val="00477BF4"/>
    <w:rsid w:val="004811E6"/>
    <w:rsid w:val="00482836"/>
    <w:rsid w:val="00482EE5"/>
    <w:rsid w:val="00483326"/>
    <w:rsid w:val="00486D54"/>
    <w:rsid w:val="00486E60"/>
    <w:rsid w:val="00491213"/>
    <w:rsid w:val="0049327F"/>
    <w:rsid w:val="00493B58"/>
    <w:rsid w:val="0049433A"/>
    <w:rsid w:val="004949B8"/>
    <w:rsid w:val="004A0234"/>
    <w:rsid w:val="004A11FE"/>
    <w:rsid w:val="004A465D"/>
    <w:rsid w:val="004A6349"/>
    <w:rsid w:val="004A7ADD"/>
    <w:rsid w:val="004B30CA"/>
    <w:rsid w:val="004B7C73"/>
    <w:rsid w:val="004C1DD3"/>
    <w:rsid w:val="004C23B8"/>
    <w:rsid w:val="004C41FA"/>
    <w:rsid w:val="004C6BFB"/>
    <w:rsid w:val="004D0892"/>
    <w:rsid w:val="004D0B9B"/>
    <w:rsid w:val="004D0E4A"/>
    <w:rsid w:val="004D67B3"/>
    <w:rsid w:val="004F105E"/>
    <w:rsid w:val="004F2C2F"/>
    <w:rsid w:val="004F6E39"/>
    <w:rsid w:val="004F7211"/>
    <w:rsid w:val="00500D8B"/>
    <w:rsid w:val="00502AFF"/>
    <w:rsid w:val="00504A78"/>
    <w:rsid w:val="00505244"/>
    <w:rsid w:val="00505C65"/>
    <w:rsid w:val="00506758"/>
    <w:rsid w:val="00510D59"/>
    <w:rsid w:val="005151B5"/>
    <w:rsid w:val="00517856"/>
    <w:rsid w:val="005206B2"/>
    <w:rsid w:val="00520DF1"/>
    <w:rsid w:val="00523407"/>
    <w:rsid w:val="00523A05"/>
    <w:rsid w:val="00525891"/>
    <w:rsid w:val="0052668A"/>
    <w:rsid w:val="00527F31"/>
    <w:rsid w:val="0053363E"/>
    <w:rsid w:val="005336C5"/>
    <w:rsid w:val="005376CB"/>
    <w:rsid w:val="00540BCE"/>
    <w:rsid w:val="005411C5"/>
    <w:rsid w:val="00541F28"/>
    <w:rsid w:val="0054241F"/>
    <w:rsid w:val="0054746D"/>
    <w:rsid w:val="00551F45"/>
    <w:rsid w:val="00555F01"/>
    <w:rsid w:val="0055767F"/>
    <w:rsid w:val="00564E0C"/>
    <w:rsid w:val="00565A4C"/>
    <w:rsid w:val="00566CE5"/>
    <w:rsid w:val="00570D65"/>
    <w:rsid w:val="005722AA"/>
    <w:rsid w:val="005762F3"/>
    <w:rsid w:val="00577FB4"/>
    <w:rsid w:val="00581E03"/>
    <w:rsid w:val="00583985"/>
    <w:rsid w:val="005842B4"/>
    <w:rsid w:val="00587CF1"/>
    <w:rsid w:val="005902A9"/>
    <w:rsid w:val="0059062E"/>
    <w:rsid w:val="00590A10"/>
    <w:rsid w:val="0059297F"/>
    <w:rsid w:val="00593176"/>
    <w:rsid w:val="00594006"/>
    <w:rsid w:val="00594D78"/>
    <w:rsid w:val="00594F41"/>
    <w:rsid w:val="00596126"/>
    <w:rsid w:val="005A11DA"/>
    <w:rsid w:val="005A59C2"/>
    <w:rsid w:val="005A5B4F"/>
    <w:rsid w:val="005A6FCB"/>
    <w:rsid w:val="005A7F6C"/>
    <w:rsid w:val="005B0961"/>
    <w:rsid w:val="005B16F4"/>
    <w:rsid w:val="005B186D"/>
    <w:rsid w:val="005B3311"/>
    <w:rsid w:val="005B62EC"/>
    <w:rsid w:val="005C047E"/>
    <w:rsid w:val="005C11FA"/>
    <w:rsid w:val="005C261D"/>
    <w:rsid w:val="005C3781"/>
    <w:rsid w:val="005C3955"/>
    <w:rsid w:val="005C5095"/>
    <w:rsid w:val="005C6411"/>
    <w:rsid w:val="005C7DF8"/>
    <w:rsid w:val="005D0EDF"/>
    <w:rsid w:val="005D3ACC"/>
    <w:rsid w:val="005D6B46"/>
    <w:rsid w:val="005D6C52"/>
    <w:rsid w:val="005E0BAE"/>
    <w:rsid w:val="005E0E65"/>
    <w:rsid w:val="005E1970"/>
    <w:rsid w:val="005E36FF"/>
    <w:rsid w:val="005E5941"/>
    <w:rsid w:val="005F14FC"/>
    <w:rsid w:val="005F2A4C"/>
    <w:rsid w:val="005F36BF"/>
    <w:rsid w:val="005F7D12"/>
    <w:rsid w:val="00601262"/>
    <w:rsid w:val="00604D84"/>
    <w:rsid w:val="00607722"/>
    <w:rsid w:val="006129FD"/>
    <w:rsid w:val="00616EC7"/>
    <w:rsid w:val="0062116B"/>
    <w:rsid w:val="00622CC0"/>
    <w:rsid w:val="0062439C"/>
    <w:rsid w:val="0062501A"/>
    <w:rsid w:val="006259D1"/>
    <w:rsid w:val="0063180F"/>
    <w:rsid w:val="00631923"/>
    <w:rsid w:val="00632C12"/>
    <w:rsid w:val="0063306E"/>
    <w:rsid w:val="00643136"/>
    <w:rsid w:val="0064321C"/>
    <w:rsid w:val="006452AD"/>
    <w:rsid w:val="00647B74"/>
    <w:rsid w:val="00650847"/>
    <w:rsid w:val="00650AC5"/>
    <w:rsid w:val="00652438"/>
    <w:rsid w:val="00653552"/>
    <w:rsid w:val="00654C7D"/>
    <w:rsid w:val="0065507F"/>
    <w:rsid w:val="0065710F"/>
    <w:rsid w:val="00660B10"/>
    <w:rsid w:val="006621CC"/>
    <w:rsid w:val="00663B0C"/>
    <w:rsid w:val="00670377"/>
    <w:rsid w:val="006772E7"/>
    <w:rsid w:val="006777B9"/>
    <w:rsid w:val="00680E60"/>
    <w:rsid w:val="00681461"/>
    <w:rsid w:val="006817D9"/>
    <w:rsid w:val="006821E9"/>
    <w:rsid w:val="006831DC"/>
    <w:rsid w:val="00687034"/>
    <w:rsid w:val="006873AA"/>
    <w:rsid w:val="006874AA"/>
    <w:rsid w:val="006920B0"/>
    <w:rsid w:val="00692183"/>
    <w:rsid w:val="00692480"/>
    <w:rsid w:val="006932A5"/>
    <w:rsid w:val="006934C7"/>
    <w:rsid w:val="00697787"/>
    <w:rsid w:val="006A0B53"/>
    <w:rsid w:val="006A0DAB"/>
    <w:rsid w:val="006A190F"/>
    <w:rsid w:val="006A2937"/>
    <w:rsid w:val="006A3523"/>
    <w:rsid w:val="006B0525"/>
    <w:rsid w:val="006B24AE"/>
    <w:rsid w:val="006B6C9F"/>
    <w:rsid w:val="006C2A2F"/>
    <w:rsid w:val="006C550F"/>
    <w:rsid w:val="006C599B"/>
    <w:rsid w:val="006C69B6"/>
    <w:rsid w:val="006D02FC"/>
    <w:rsid w:val="006D096B"/>
    <w:rsid w:val="006D2F5B"/>
    <w:rsid w:val="006D31AB"/>
    <w:rsid w:val="006D446E"/>
    <w:rsid w:val="006D4A1A"/>
    <w:rsid w:val="006D5343"/>
    <w:rsid w:val="006D6A18"/>
    <w:rsid w:val="006D6BB5"/>
    <w:rsid w:val="006D7BFC"/>
    <w:rsid w:val="006E3B17"/>
    <w:rsid w:val="006F6C87"/>
    <w:rsid w:val="006F6F42"/>
    <w:rsid w:val="0070502C"/>
    <w:rsid w:val="007074FD"/>
    <w:rsid w:val="0070798C"/>
    <w:rsid w:val="00715990"/>
    <w:rsid w:val="0071635C"/>
    <w:rsid w:val="00720592"/>
    <w:rsid w:val="00721E50"/>
    <w:rsid w:val="00722E0A"/>
    <w:rsid w:val="00722FB0"/>
    <w:rsid w:val="00723860"/>
    <w:rsid w:val="007250AC"/>
    <w:rsid w:val="007268F5"/>
    <w:rsid w:val="00731485"/>
    <w:rsid w:val="00731792"/>
    <w:rsid w:val="00732067"/>
    <w:rsid w:val="0074265D"/>
    <w:rsid w:val="00742C4F"/>
    <w:rsid w:val="0074666A"/>
    <w:rsid w:val="007472D6"/>
    <w:rsid w:val="00753AD5"/>
    <w:rsid w:val="00754771"/>
    <w:rsid w:val="007573E5"/>
    <w:rsid w:val="00762309"/>
    <w:rsid w:val="00765478"/>
    <w:rsid w:val="00765EFC"/>
    <w:rsid w:val="00766175"/>
    <w:rsid w:val="00767D54"/>
    <w:rsid w:val="00777554"/>
    <w:rsid w:val="00777FC6"/>
    <w:rsid w:val="0078331C"/>
    <w:rsid w:val="00785008"/>
    <w:rsid w:val="00786FBC"/>
    <w:rsid w:val="007908A3"/>
    <w:rsid w:val="00791AA8"/>
    <w:rsid w:val="00791FC4"/>
    <w:rsid w:val="007922D4"/>
    <w:rsid w:val="00795E68"/>
    <w:rsid w:val="00796645"/>
    <w:rsid w:val="00797CC2"/>
    <w:rsid w:val="00797D6C"/>
    <w:rsid w:val="007A1AE0"/>
    <w:rsid w:val="007A3BCE"/>
    <w:rsid w:val="007A706D"/>
    <w:rsid w:val="007A73F6"/>
    <w:rsid w:val="007B0961"/>
    <w:rsid w:val="007B2C20"/>
    <w:rsid w:val="007B42EE"/>
    <w:rsid w:val="007C4B89"/>
    <w:rsid w:val="007C6BED"/>
    <w:rsid w:val="007D55B1"/>
    <w:rsid w:val="007D57A8"/>
    <w:rsid w:val="007D73E9"/>
    <w:rsid w:val="007E0556"/>
    <w:rsid w:val="007E1456"/>
    <w:rsid w:val="007E17FA"/>
    <w:rsid w:val="007E44F5"/>
    <w:rsid w:val="007E4ED6"/>
    <w:rsid w:val="007E56C6"/>
    <w:rsid w:val="007F0C04"/>
    <w:rsid w:val="007F2F1F"/>
    <w:rsid w:val="007F46D2"/>
    <w:rsid w:val="007F4EC6"/>
    <w:rsid w:val="007F7FD1"/>
    <w:rsid w:val="00800B09"/>
    <w:rsid w:val="0080221D"/>
    <w:rsid w:val="00802FF6"/>
    <w:rsid w:val="00803F2B"/>
    <w:rsid w:val="008041BD"/>
    <w:rsid w:val="008053A6"/>
    <w:rsid w:val="00805B41"/>
    <w:rsid w:val="008105D3"/>
    <w:rsid w:val="00814D2E"/>
    <w:rsid w:val="008158A3"/>
    <w:rsid w:val="008166F7"/>
    <w:rsid w:val="008208C7"/>
    <w:rsid w:val="00825012"/>
    <w:rsid w:val="008310FF"/>
    <w:rsid w:val="00833C2D"/>
    <w:rsid w:val="008379B1"/>
    <w:rsid w:val="0084556B"/>
    <w:rsid w:val="0084716E"/>
    <w:rsid w:val="00853B01"/>
    <w:rsid w:val="00853F30"/>
    <w:rsid w:val="008540B3"/>
    <w:rsid w:val="0085574D"/>
    <w:rsid w:val="00855E21"/>
    <w:rsid w:val="00856CFF"/>
    <w:rsid w:val="0086016B"/>
    <w:rsid w:val="00860963"/>
    <w:rsid w:val="008612B0"/>
    <w:rsid w:val="008637A0"/>
    <w:rsid w:val="00864000"/>
    <w:rsid w:val="00864EFE"/>
    <w:rsid w:val="00865D5B"/>
    <w:rsid w:val="0086631A"/>
    <w:rsid w:val="0086796B"/>
    <w:rsid w:val="008757F8"/>
    <w:rsid w:val="008773E5"/>
    <w:rsid w:val="00881AEC"/>
    <w:rsid w:val="00884341"/>
    <w:rsid w:val="00884362"/>
    <w:rsid w:val="00887535"/>
    <w:rsid w:val="00887BB0"/>
    <w:rsid w:val="0089022F"/>
    <w:rsid w:val="008A05F2"/>
    <w:rsid w:val="008A240F"/>
    <w:rsid w:val="008B116A"/>
    <w:rsid w:val="008B2BCE"/>
    <w:rsid w:val="008B46A7"/>
    <w:rsid w:val="008B5F7B"/>
    <w:rsid w:val="008B7348"/>
    <w:rsid w:val="008C075C"/>
    <w:rsid w:val="008C093B"/>
    <w:rsid w:val="008C4341"/>
    <w:rsid w:val="008C5AA7"/>
    <w:rsid w:val="008C6D05"/>
    <w:rsid w:val="008D1510"/>
    <w:rsid w:val="008D384B"/>
    <w:rsid w:val="008D3922"/>
    <w:rsid w:val="008D44E3"/>
    <w:rsid w:val="008D4E58"/>
    <w:rsid w:val="008D7A2F"/>
    <w:rsid w:val="008E2ED6"/>
    <w:rsid w:val="008E4786"/>
    <w:rsid w:val="008E5D55"/>
    <w:rsid w:val="008F26AD"/>
    <w:rsid w:val="008F2E64"/>
    <w:rsid w:val="008F2FB3"/>
    <w:rsid w:val="008F4B39"/>
    <w:rsid w:val="008F78D5"/>
    <w:rsid w:val="00902F55"/>
    <w:rsid w:val="0090470C"/>
    <w:rsid w:val="00906198"/>
    <w:rsid w:val="00910718"/>
    <w:rsid w:val="009116B8"/>
    <w:rsid w:val="00911CA6"/>
    <w:rsid w:val="00916FEB"/>
    <w:rsid w:val="009170D7"/>
    <w:rsid w:val="0091745E"/>
    <w:rsid w:val="009233F5"/>
    <w:rsid w:val="00924109"/>
    <w:rsid w:val="009261C4"/>
    <w:rsid w:val="00926D5C"/>
    <w:rsid w:val="00930956"/>
    <w:rsid w:val="009360D1"/>
    <w:rsid w:val="009364DE"/>
    <w:rsid w:val="00947BF1"/>
    <w:rsid w:val="0095097F"/>
    <w:rsid w:val="00950F2C"/>
    <w:rsid w:val="009512A7"/>
    <w:rsid w:val="009543EE"/>
    <w:rsid w:val="00967F32"/>
    <w:rsid w:val="009702DE"/>
    <w:rsid w:val="00971B64"/>
    <w:rsid w:val="00973331"/>
    <w:rsid w:val="00974712"/>
    <w:rsid w:val="00976266"/>
    <w:rsid w:val="00977BEF"/>
    <w:rsid w:val="0098218D"/>
    <w:rsid w:val="00990E54"/>
    <w:rsid w:val="00990F3D"/>
    <w:rsid w:val="00996B36"/>
    <w:rsid w:val="009A239C"/>
    <w:rsid w:val="009A3976"/>
    <w:rsid w:val="009A3AAF"/>
    <w:rsid w:val="009A3EAE"/>
    <w:rsid w:val="009A4956"/>
    <w:rsid w:val="009A6156"/>
    <w:rsid w:val="009A7747"/>
    <w:rsid w:val="009A7DCC"/>
    <w:rsid w:val="009A7E35"/>
    <w:rsid w:val="009B0652"/>
    <w:rsid w:val="009B23BA"/>
    <w:rsid w:val="009B271F"/>
    <w:rsid w:val="009B2AEC"/>
    <w:rsid w:val="009B2C68"/>
    <w:rsid w:val="009B6ADC"/>
    <w:rsid w:val="009C1BFF"/>
    <w:rsid w:val="009C4DE4"/>
    <w:rsid w:val="009C79C4"/>
    <w:rsid w:val="009D219C"/>
    <w:rsid w:val="009D22F8"/>
    <w:rsid w:val="009D2CDF"/>
    <w:rsid w:val="009D3510"/>
    <w:rsid w:val="009D72AA"/>
    <w:rsid w:val="009E393C"/>
    <w:rsid w:val="009E6008"/>
    <w:rsid w:val="009E6385"/>
    <w:rsid w:val="009E6EE9"/>
    <w:rsid w:val="009F0268"/>
    <w:rsid w:val="009F1F2E"/>
    <w:rsid w:val="009F4313"/>
    <w:rsid w:val="009F494B"/>
    <w:rsid w:val="00A009EA"/>
    <w:rsid w:val="00A06892"/>
    <w:rsid w:val="00A07761"/>
    <w:rsid w:val="00A12D02"/>
    <w:rsid w:val="00A139C5"/>
    <w:rsid w:val="00A17980"/>
    <w:rsid w:val="00A21E33"/>
    <w:rsid w:val="00A21E81"/>
    <w:rsid w:val="00A25047"/>
    <w:rsid w:val="00A30934"/>
    <w:rsid w:val="00A33184"/>
    <w:rsid w:val="00A33C56"/>
    <w:rsid w:val="00A36342"/>
    <w:rsid w:val="00A4099B"/>
    <w:rsid w:val="00A42896"/>
    <w:rsid w:val="00A43179"/>
    <w:rsid w:val="00A45310"/>
    <w:rsid w:val="00A4771A"/>
    <w:rsid w:val="00A50D78"/>
    <w:rsid w:val="00A52005"/>
    <w:rsid w:val="00A53223"/>
    <w:rsid w:val="00A57BE7"/>
    <w:rsid w:val="00A611EE"/>
    <w:rsid w:val="00A6545C"/>
    <w:rsid w:val="00A6563F"/>
    <w:rsid w:val="00A66CCA"/>
    <w:rsid w:val="00A67F48"/>
    <w:rsid w:val="00A704D5"/>
    <w:rsid w:val="00A70752"/>
    <w:rsid w:val="00A7774E"/>
    <w:rsid w:val="00A8467A"/>
    <w:rsid w:val="00A86C97"/>
    <w:rsid w:val="00A86DE0"/>
    <w:rsid w:val="00A86E28"/>
    <w:rsid w:val="00A92AC5"/>
    <w:rsid w:val="00A93E28"/>
    <w:rsid w:val="00AA6824"/>
    <w:rsid w:val="00AA701D"/>
    <w:rsid w:val="00AB4207"/>
    <w:rsid w:val="00AC2B6A"/>
    <w:rsid w:val="00AD0FD6"/>
    <w:rsid w:val="00AD7994"/>
    <w:rsid w:val="00AE0A20"/>
    <w:rsid w:val="00AE31C7"/>
    <w:rsid w:val="00AE3911"/>
    <w:rsid w:val="00AE3DD9"/>
    <w:rsid w:val="00AE709A"/>
    <w:rsid w:val="00AE784D"/>
    <w:rsid w:val="00AF7E75"/>
    <w:rsid w:val="00B005D4"/>
    <w:rsid w:val="00B00868"/>
    <w:rsid w:val="00B01558"/>
    <w:rsid w:val="00B02FB1"/>
    <w:rsid w:val="00B0645A"/>
    <w:rsid w:val="00B06847"/>
    <w:rsid w:val="00B07042"/>
    <w:rsid w:val="00B071FD"/>
    <w:rsid w:val="00B07868"/>
    <w:rsid w:val="00B1340A"/>
    <w:rsid w:val="00B159DB"/>
    <w:rsid w:val="00B21B6E"/>
    <w:rsid w:val="00B220B5"/>
    <w:rsid w:val="00B22EA9"/>
    <w:rsid w:val="00B24F0E"/>
    <w:rsid w:val="00B262E4"/>
    <w:rsid w:val="00B313EF"/>
    <w:rsid w:val="00B40077"/>
    <w:rsid w:val="00B42160"/>
    <w:rsid w:val="00B43D5E"/>
    <w:rsid w:val="00B45A43"/>
    <w:rsid w:val="00B45D4C"/>
    <w:rsid w:val="00B54914"/>
    <w:rsid w:val="00B5501D"/>
    <w:rsid w:val="00B61668"/>
    <w:rsid w:val="00B6613A"/>
    <w:rsid w:val="00B70AB8"/>
    <w:rsid w:val="00B7110A"/>
    <w:rsid w:val="00B71D96"/>
    <w:rsid w:val="00B73845"/>
    <w:rsid w:val="00B76BA6"/>
    <w:rsid w:val="00B76BE5"/>
    <w:rsid w:val="00B80094"/>
    <w:rsid w:val="00B81523"/>
    <w:rsid w:val="00B81683"/>
    <w:rsid w:val="00B85469"/>
    <w:rsid w:val="00B902AE"/>
    <w:rsid w:val="00B9337F"/>
    <w:rsid w:val="00B94BF5"/>
    <w:rsid w:val="00B958C0"/>
    <w:rsid w:val="00B979BB"/>
    <w:rsid w:val="00B97F8D"/>
    <w:rsid w:val="00BA020C"/>
    <w:rsid w:val="00BA0D9F"/>
    <w:rsid w:val="00BA31AE"/>
    <w:rsid w:val="00BA7B2F"/>
    <w:rsid w:val="00BB4689"/>
    <w:rsid w:val="00BB5D21"/>
    <w:rsid w:val="00BB6C89"/>
    <w:rsid w:val="00BB72FD"/>
    <w:rsid w:val="00BC1036"/>
    <w:rsid w:val="00BC2D8F"/>
    <w:rsid w:val="00BC4302"/>
    <w:rsid w:val="00BC57BB"/>
    <w:rsid w:val="00BD13D0"/>
    <w:rsid w:val="00BD2CE8"/>
    <w:rsid w:val="00BD2E2F"/>
    <w:rsid w:val="00BD6B49"/>
    <w:rsid w:val="00BD7DD2"/>
    <w:rsid w:val="00BE0B38"/>
    <w:rsid w:val="00BE1BCC"/>
    <w:rsid w:val="00BE4777"/>
    <w:rsid w:val="00BF47AC"/>
    <w:rsid w:val="00BF71A1"/>
    <w:rsid w:val="00C017C5"/>
    <w:rsid w:val="00C01E2F"/>
    <w:rsid w:val="00C02BA6"/>
    <w:rsid w:val="00C03393"/>
    <w:rsid w:val="00C05C30"/>
    <w:rsid w:val="00C061C7"/>
    <w:rsid w:val="00C07C7D"/>
    <w:rsid w:val="00C13035"/>
    <w:rsid w:val="00C13F1C"/>
    <w:rsid w:val="00C1435D"/>
    <w:rsid w:val="00C162ED"/>
    <w:rsid w:val="00C202C1"/>
    <w:rsid w:val="00C2639C"/>
    <w:rsid w:val="00C263CC"/>
    <w:rsid w:val="00C276C8"/>
    <w:rsid w:val="00C2797C"/>
    <w:rsid w:val="00C34A5B"/>
    <w:rsid w:val="00C36E6D"/>
    <w:rsid w:val="00C3787E"/>
    <w:rsid w:val="00C42011"/>
    <w:rsid w:val="00C42BCF"/>
    <w:rsid w:val="00C4392E"/>
    <w:rsid w:val="00C45E9C"/>
    <w:rsid w:val="00C4774B"/>
    <w:rsid w:val="00C52B44"/>
    <w:rsid w:val="00C557BA"/>
    <w:rsid w:val="00C55C70"/>
    <w:rsid w:val="00C56EF3"/>
    <w:rsid w:val="00C57B14"/>
    <w:rsid w:val="00C65B54"/>
    <w:rsid w:val="00C71521"/>
    <w:rsid w:val="00C74121"/>
    <w:rsid w:val="00C74475"/>
    <w:rsid w:val="00C74538"/>
    <w:rsid w:val="00C74BFC"/>
    <w:rsid w:val="00C74C7A"/>
    <w:rsid w:val="00C8361D"/>
    <w:rsid w:val="00C868DA"/>
    <w:rsid w:val="00C90CAE"/>
    <w:rsid w:val="00C93054"/>
    <w:rsid w:val="00C957D8"/>
    <w:rsid w:val="00C95A94"/>
    <w:rsid w:val="00CA0618"/>
    <w:rsid w:val="00CA21C4"/>
    <w:rsid w:val="00CA2547"/>
    <w:rsid w:val="00CA2EC3"/>
    <w:rsid w:val="00CA4724"/>
    <w:rsid w:val="00CB00BE"/>
    <w:rsid w:val="00CB13E7"/>
    <w:rsid w:val="00CB191E"/>
    <w:rsid w:val="00CB2604"/>
    <w:rsid w:val="00CB2DB1"/>
    <w:rsid w:val="00CB3F7E"/>
    <w:rsid w:val="00CB47FC"/>
    <w:rsid w:val="00CB7E0F"/>
    <w:rsid w:val="00CC06D9"/>
    <w:rsid w:val="00CC32B5"/>
    <w:rsid w:val="00CC6C12"/>
    <w:rsid w:val="00CD2415"/>
    <w:rsid w:val="00CD2980"/>
    <w:rsid w:val="00CD2DF0"/>
    <w:rsid w:val="00CD3789"/>
    <w:rsid w:val="00CD4F00"/>
    <w:rsid w:val="00CD6C55"/>
    <w:rsid w:val="00CE1988"/>
    <w:rsid w:val="00CE3A39"/>
    <w:rsid w:val="00CE5F46"/>
    <w:rsid w:val="00CE715D"/>
    <w:rsid w:val="00CF1C08"/>
    <w:rsid w:val="00CF61B0"/>
    <w:rsid w:val="00CF6965"/>
    <w:rsid w:val="00CF6EC5"/>
    <w:rsid w:val="00D01A21"/>
    <w:rsid w:val="00D02B6A"/>
    <w:rsid w:val="00D04273"/>
    <w:rsid w:val="00D06451"/>
    <w:rsid w:val="00D10464"/>
    <w:rsid w:val="00D11438"/>
    <w:rsid w:val="00D11F00"/>
    <w:rsid w:val="00D11FD0"/>
    <w:rsid w:val="00D1286E"/>
    <w:rsid w:val="00D210E0"/>
    <w:rsid w:val="00D26E50"/>
    <w:rsid w:val="00D273C4"/>
    <w:rsid w:val="00D30B3E"/>
    <w:rsid w:val="00D31782"/>
    <w:rsid w:val="00D321C7"/>
    <w:rsid w:val="00D332C1"/>
    <w:rsid w:val="00D36F44"/>
    <w:rsid w:val="00D41CF4"/>
    <w:rsid w:val="00D44556"/>
    <w:rsid w:val="00D45F11"/>
    <w:rsid w:val="00D45F7B"/>
    <w:rsid w:val="00D46167"/>
    <w:rsid w:val="00D504EF"/>
    <w:rsid w:val="00D518FB"/>
    <w:rsid w:val="00D54DB4"/>
    <w:rsid w:val="00D56750"/>
    <w:rsid w:val="00D56AAE"/>
    <w:rsid w:val="00D60144"/>
    <w:rsid w:val="00D623F3"/>
    <w:rsid w:val="00D62A61"/>
    <w:rsid w:val="00D721CB"/>
    <w:rsid w:val="00D72322"/>
    <w:rsid w:val="00D729EE"/>
    <w:rsid w:val="00D739D3"/>
    <w:rsid w:val="00D73BF5"/>
    <w:rsid w:val="00D73E04"/>
    <w:rsid w:val="00D7586C"/>
    <w:rsid w:val="00D77E8F"/>
    <w:rsid w:val="00D81728"/>
    <w:rsid w:val="00D828C6"/>
    <w:rsid w:val="00D91FF4"/>
    <w:rsid w:val="00D95FC4"/>
    <w:rsid w:val="00D965FD"/>
    <w:rsid w:val="00D96DFE"/>
    <w:rsid w:val="00D96EEF"/>
    <w:rsid w:val="00D97993"/>
    <w:rsid w:val="00DA2F9C"/>
    <w:rsid w:val="00DB0143"/>
    <w:rsid w:val="00DB45CB"/>
    <w:rsid w:val="00DB7966"/>
    <w:rsid w:val="00DC1FAF"/>
    <w:rsid w:val="00DC59D1"/>
    <w:rsid w:val="00DC7D0F"/>
    <w:rsid w:val="00DD2B2D"/>
    <w:rsid w:val="00DD6641"/>
    <w:rsid w:val="00DE168E"/>
    <w:rsid w:val="00DF172F"/>
    <w:rsid w:val="00DF17BF"/>
    <w:rsid w:val="00DF2140"/>
    <w:rsid w:val="00DF36B4"/>
    <w:rsid w:val="00DF49FE"/>
    <w:rsid w:val="00DF56B6"/>
    <w:rsid w:val="00DF65DE"/>
    <w:rsid w:val="00E02368"/>
    <w:rsid w:val="00E05FFD"/>
    <w:rsid w:val="00E119C1"/>
    <w:rsid w:val="00E12A76"/>
    <w:rsid w:val="00E12DAF"/>
    <w:rsid w:val="00E15E99"/>
    <w:rsid w:val="00E1687C"/>
    <w:rsid w:val="00E17BCE"/>
    <w:rsid w:val="00E213C4"/>
    <w:rsid w:val="00E25C96"/>
    <w:rsid w:val="00E26C9C"/>
    <w:rsid w:val="00E3158C"/>
    <w:rsid w:val="00E32038"/>
    <w:rsid w:val="00E33CF9"/>
    <w:rsid w:val="00E35052"/>
    <w:rsid w:val="00E35309"/>
    <w:rsid w:val="00E356FE"/>
    <w:rsid w:val="00E41196"/>
    <w:rsid w:val="00E424D2"/>
    <w:rsid w:val="00E43455"/>
    <w:rsid w:val="00E43819"/>
    <w:rsid w:val="00E43EF1"/>
    <w:rsid w:val="00E4554E"/>
    <w:rsid w:val="00E45C23"/>
    <w:rsid w:val="00E51795"/>
    <w:rsid w:val="00E5277A"/>
    <w:rsid w:val="00E53B52"/>
    <w:rsid w:val="00E632AC"/>
    <w:rsid w:val="00E6491A"/>
    <w:rsid w:val="00E66762"/>
    <w:rsid w:val="00E721A9"/>
    <w:rsid w:val="00E74E1D"/>
    <w:rsid w:val="00E75D00"/>
    <w:rsid w:val="00E75F3B"/>
    <w:rsid w:val="00E76648"/>
    <w:rsid w:val="00E77E5A"/>
    <w:rsid w:val="00E83193"/>
    <w:rsid w:val="00E86C0D"/>
    <w:rsid w:val="00E87D96"/>
    <w:rsid w:val="00E90168"/>
    <w:rsid w:val="00E90A8F"/>
    <w:rsid w:val="00E90B4B"/>
    <w:rsid w:val="00E91452"/>
    <w:rsid w:val="00E93F89"/>
    <w:rsid w:val="00EA2030"/>
    <w:rsid w:val="00EA5D2D"/>
    <w:rsid w:val="00EB0BA5"/>
    <w:rsid w:val="00EB151B"/>
    <w:rsid w:val="00EB3128"/>
    <w:rsid w:val="00EB7F44"/>
    <w:rsid w:val="00EC189B"/>
    <w:rsid w:val="00EC2CC3"/>
    <w:rsid w:val="00EC3F6B"/>
    <w:rsid w:val="00EC5C8C"/>
    <w:rsid w:val="00EC7BD8"/>
    <w:rsid w:val="00EC7F67"/>
    <w:rsid w:val="00ED04DC"/>
    <w:rsid w:val="00ED0A07"/>
    <w:rsid w:val="00ED0B50"/>
    <w:rsid w:val="00ED1033"/>
    <w:rsid w:val="00ED3993"/>
    <w:rsid w:val="00ED4B30"/>
    <w:rsid w:val="00ED4E28"/>
    <w:rsid w:val="00ED5206"/>
    <w:rsid w:val="00ED72C1"/>
    <w:rsid w:val="00ED788C"/>
    <w:rsid w:val="00EE1CF4"/>
    <w:rsid w:val="00EE46FF"/>
    <w:rsid w:val="00EE4709"/>
    <w:rsid w:val="00EE6643"/>
    <w:rsid w:val="00EE71F1"/>
    <w:rsid w:val="00EF051A"/>
    <w:rsid w:val="00EF1336"/>
    <w:rsid w:val="00EF1E4E"/>
    <w:rsid w:val="00EF5356"/>
    <w:rsid w:val="00EF5447"/>
    <w:rsid w:val="00EF77D8"/>
    <w:rsid w:val="00F02D75"/>
    <w:rsid w:val="00F06E6E"/>
    <w:rsid w:val="00F11CFC"/>
    <w:rsid w:val="00F21756"/>
    <w:rsid w:val="00F218C8"/>
    <w:rsid w:val="00F22CEC"/>
    <w:rsid w:val="00F2489D"/>
    <w:rsid w:val="00F2502E"/>
    <w:rsid w:val="00F2743A"/>
    <w:rsid w:val="00F309E2"/>
    <w:rsid w:val="00F30EB0"/>
    <w:rsid w:val="00F35BA4"/>
    <w:rsid w:val="00F374DD"/>
    <w:rsid w:val="00F419EF"/>
    <w:rsid w:val="00F448F1"/>
    <w:rsid w:val="00F451D8"/>
    <w:rsid w:val="00F45366"/>
    <w:rsid w:val="00F479DE"/>
    <w:rsid w:val="00F50781"/>
    <w:rsid w:val="00F5116C"/>
    <w:rsid w:val="00F51EC5"/>
    <w:rsid w:val="00F53B86"/>
    <w:rsid w:val="00F54E71"/>
    <w:rsid w:val="00F556DC"/>
    <w:rsid w:val="00F56B6C"/>
    <w:rsid w:val="00F572C7"/>
    <w:rsid w:val="00F62237"/>
    <w:rsid w:val="00F62DC5"/>
    <w:rsid w:val="00F639C8"/>
    <w:rsid w:val="00F65DD1"/>
    <w:rsid w:val="00F70DB5"/>
    <w:rsid w:val="00F710F9"/>
    <w:rsid w:val="00F74621"/>
    <w:rsid w:val="00F817DE"/>
    <w:rsid w:val="00F90B52"/>
    <w:rsid w:val="00F91E50"/>
    <w:rsid w:val="00F91F7C"/>
    <w:rsid w:val="00F9337E"/>
    <w:rsid w:val="00F93958"/>
    <w:rsid w:val="00F94A95"/>
    <w:rsid w:val="00F97224"/>
    <w:rsid w:val="00FA1152"/>
    <w:rsid w:val="00FA186C"/>
    <w:rsid w:val="00FA1CDC"/>
    <w:rsid w:val="00FA1E7F"/>
    <w:rsid w:val="00FA2D02"/>
    <w:rsid w:val="00FA4D0F"/>
    <w:rsid w:val="00FA7965"/>
    <w:rsid w:val="00FB1155"/>
    <w:rsid w:val="00FB3B21"/>
    <w:rsid w:val="00FC4A99"/>
    <w:rsid w:val="00FC5334"/>
    <w:rsid w:val="00FC5379"/>
    <w:rsid w:val="00FC5574"/>
    <w:rsid w:val="00FC6EA1"/>
    <w:rsid w:val="00FD44FC"/>
    <w:rsid w:val="00FD5695"/>
    <w:rsid w:val="00FD7030"/>
    <w:rsid w:val="00FD7B44"/>
    <w:rsid w:val="00FE0E6E"/>
    <w:rsid w:val="00FE3160"/>
    <w:rsid w:val="00FE5536"/>
    <w:rsid w:val="00FE76EC"/>
    <w:rsid w:val="00FF0F47"/>
    <w:rsid w:val="00FF11D7"/>
    <w:rsid w:val="00FF157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F9328"/>
  <w15:docId w15:val="{E2BAEBAB-C634-4EAA-A062-034D8B623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6B46"/>
    <w:rPr>
      <w:sz w:val="24"/>
      <w:szCs w:val="24"/>
      <w:lang w:val="en-US" w:eastAsia="en-US"/>
    </w:rPr>
  </w:style>
  <w:style w:type="paragraph" w:styleId="Heading1">
    <w:name w:val="heading 1"/>
    <w:basedOn w:val="Normal"/>
    <w:next w:val="Normal"/>
    <w:qFormat/>
    <w:rsid w:val="00BE0B38"/>
    <w:pPr>
      <w:keepNext/>
      <w:numPr>
        <w:numId w:val="1"/>
      </w:numPr>
      <w:spacing w:before="240" w:after="80"/>
      <w:jc w:val="center"/>
      <w:outlineLvl w:val="0"/>
    </w:pPr>
    <w:rPr>
      <w:smallCaps/>
      <w:kern w:val="28"/>
      <w:sz w:val="20"/>
      <w:szCs w:val="20"/>
      <w:lang w:val="x-none" w:eastAsia="x-none"/>
    </w:rPr>
  </w:style>
  <w:style w:type="paragraph" w:styleId="Heading2">
    <w:name w:val="heading 2"/>
    <w:basedOn w:val="Normal"/>
    <w:next w:val="Normal"/>
    <w:qFormat/>
    <w:rsid w:val="00BE0B38"/>
    <w:pPr>
      <w:keepNext/>
      <w:numPr>
        <w:ilvl w:val="1"/>
        <w:numId w:val="1"/>
      </w:numPr>
      <w:spacing w:before="120" w:after="60"/>
      <w:outlineLvl w:val="1"/>
    </w:pPr>
    <w:rPr>
      <w:i/>
      <w:iCs/>
      <w:sz w:val="20"/>
      <w:szCs w:val="20"/>
      <w:lang w:val="x-none" w:eastAsia="x-none"/>
    </w:rPr>
  </w:style>
  <w:style w:type="paragraph" w:styleId="Heading3">
    <w:name w:val="heading 3"/>
    <w:basedOn w:val="Normal"/>
    <w:next w:val="Normal"/>
    <w:qFormat/>
    <w:rsid w:val="00BE0B38"/>
    <w:pPr>
      <w:keepNext/>
      <w:numPr>
        <w:ilvl w:val="2"/>
        <w:numId w:val="1"/>
      </w:numPr>
      <w:outlineLvl w:val="2"/>
    </w:pPr>
    <w:rPr>
      <w:i/>
      <w:iCs/>
      <w:sz w:val="20"/>
      <w:szCs w:val="20"/>
    </w:rPr>
  </w:style>
  <w:style w:type="paragraph" w:styleId="Heading4">
    <w:name w:val="heading 4"/>
    <w:basedOn w:val="Normal"/>
    <w:next w:val="Normal"/>
    <w:qFormat/>
    <w:rsid w:val="00BE0B38"/>
    <w:pPr>
      <w:keepNext/>
      <w:numPr>
        <w:ilvl w:val="3"/>
        <w:numId w:val="1"/>
      </w:numPr>
      <w:spacing w:before="240" w:after="60"/>
      <w:outlineLvl w:val="3"/>
    </w:pPr>
    <w:rPr>
      <w:i/>
      <w:iCs/>
      <w:sz w:val="18"/>
      <w:szCs w:val="18"/>
    </w:rPr>
  </w:style>
  <w:style w:type="paragraph" w:styleId="Heading5">
    <w:name w:val="heading 5"/>
    <w:basedOn w:val="Normal"/>
    <w:next w:val="Normal"/>
    <w:qFormat/>
    <w:rsid w:val="00BE0B38"/>
    <w:pPr>
      <w:numPr>
        <w:ilvl w:val="4"/>
        <w:numId w:val="1"/>
      </w:numPr>
      <w:spacing w:before="240" w:after="60"/>
      <w:outlineLvl w:val="4"/>
    </w:pPr>
    <w:rPr>
      <w:sz w:val="18"/>
      <w:szCs w:val="18"/>
    </w:rPr>
  </w:style>
  <w:style w:type="paragraph" w:styleId="Heading6">
    <w:name w:val="heading 6"/>
    <w:basedOn w:val="Normal"/>
    <w:next w:val="Normal"/>
    <w:qFormat/>
    <w:rsid w:val="00BE0B38"/>
    <w:pPr>
      <w:numPr>
        <w:ilvl w:val="5"/>
        <w:numId w:val="1"/>
      </w:numPr>
      <w:spacing w:before="240" w:after="60"/>
      <w:outlineLvl w:val="5"/>
    </w:pPr>
    <w:rPr>
      <w:i/>
      <w:iCs/>
      <w:sz w:val="16"/>
      <w:szCs w:val="16"/>
    </w:rPr>
  </w:style>
  <w:style w:type="paragraph" w:styleId="Heading7">
    <w:name w:val="heading 7"/>
    <w:basedOn w:val="Normal"/>
    <w:next w:val="Normal"/>
    <w:qFormat/>
    <w:rsid w:val="00BE0B38"/>
    <w:pPr>
      <w:numPr>
        <w:ilvl w:val="6"/>
        <w:numId w:val="1"/>
      </w:numPr>
      <w:spacing w:before="240" w:after="60"/>
      <w:outlineLvl w:val="6"/>
    </w:pPr>
    <w:rPr>
      <w:sz w:val="16"/>
      <w:szCs w:val="16"/>
    </w:rPr>
  </w:style>
  <w:style w:type="paragraph" w:styleId="Heading8">
    <w:name w:val="heading 8"/>
    <w:basedOn w:val="Normal"/>
    <w:next w:val="Normal"/>
    <w:qFormat/>
    <w:rsid w:val="00BE0B38"/>
    <w:pPr>
      <w:numPr>
        <w:ilvl w:val="7"/>
        <w:numId w:val="1"/>
      </w:numPr>
      <w:spacing w:before="240" w:after="60"/>
      <w:outlineLvl w:val="7"/>
    </w:pPr>
    <w:rPr>
      <w:i/>
      <w:iCs/>
      <w:sz w:val="16"/>
      <w:szCs w:val="16"/>
    </w:rPr>
  </w:style>
  <w:style w:type="paragraph" w:styleId="Heading9">
    <w:name w:val="heading 9"/>
    <w:basedOn w:val="Normal"/>
    <w:next w:val="Normal"/>
    <w:qFormat/>
    <w:rsid w:val="00BE0B38"/>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A5D2D"/>
    <w:rPr>
      <w:color w:val="0000FF"/>
      <w:u w:val="single"/>
    </w:rPr>
  </w:style>
  <w:style w:type="paragraph" w:customStyle="1" w:styleId="DOP">
    <w:name w:val="DOP"/>
    <w:basedOn w:val="Normal"/>
    <w:rsid w:val="00015E73"/>
    <w:pPr>
      <w:spacing w:after="120"/>
    </w:pPr>
    <w:rPr>
      <w:rFonts w:ascii="Helvetica" w:hAnsi="Helvetica"/>
      <w:sz w:val="14"/>
      <w:szCs w:val="14"/>
    </w:rPr>
  </w:style>
  <w:style w:type="paragraph" w:customStyle="1" w:styleId="DOI">
    <w:name w:val="DOI"/>
    <w:basedOn w:val="Normal"/>
    <w:rsid w:val="00EC3F6B"/>
    <w:rPr>
      <w:i/>
      <w:sz w:val="12"/>
      <w:szCs w:val="12"/>
    </w:rPr>
  </w:style>
  <w:style w:type="paragraph" w:customStyle="1" w:styleId="Abstract">
    <w:name w:val="Abstract"/>
    <w:basedOn w:val="Normal"/>
    <w:link w:val="AbstractChar"/>
    <w:rsid w:val="00D26E50"/>
    <w:pPr>
      <w:spacing w:after="340" w:line="240" w:lineRule="exact"/>
      <w:ind w:right="1380"/>
      <w:jc w:val="both"/>
    </w:pPr>
    <w:rPr>
      <w:sz w:val="20"/>
      <w:szCs w:val="20"/>
    </w:rPr>
  </w:style>
  <w:style w:type="paragraph" w:customStyle="1" w:styleId="H5">
    <w:name w:val="H5"/>
    <w:basedOn w:val="Abstract"/>
    <w:link w:val="H5CharChar"/>
    <w:rsid w:val="00EC3F6B"/>
    <w:rPr>
      <w:rFonts w:ascii="Helvetica" w:hAnsi="Helvetica"/>
      <w:b/>
      <w:color w:val="00629B"/>
    </w:rPr>
  </w:style>
  <w:style w:type="character" w:customStyle="1" w:styleId="AbstractChar">
    <w:name w:val="Abstract Char"/>
    <w:link w:val="Abstract"/>
    <w:rsid w:val="00D26E50"/>
    <w:rPr>
      <w:lang w:val="en-US" w:eastAsia="en-US" w:bidi="ar-SA"/>
    </w:rPr>
  </w:style>
  <w:style w:type="character" w:customStyle="1" w:styleId="H5CharChar">
    <w:name w:val="H5 Char Char"/>
    <w:link w:val="H5"/>
    <w:rsid w:val="00EC3F6B"/>
    <w:rPr>
      <w:rFonts w:ascii="Helvetica" w:hAnsi="Helvetica"/>
      <w:b/>
      <w:color w:val="00629B"/>
      <w:lang w:val="en-US" w:eastAsia="en-US" w:bidi="ar-SA"/>
    </w:rPr>
  </w:style>
  <w:style w:type="paragraph" w:customStyle="1" w:styleId="IT">
    <w:name w:val="IT"/>
    <w:basedOn w:val="Normal"/>
    <w:rsid w:val="003B3FFE"/>
    <w:pPr>
      <w:autoSpaceDE w:val="0"/>
      <w:autoSpaceDN w:val="0"/>
      <w:adjustRightInd w:val="0"/>
      <w:spacing w:after="520"/>
      <w:ind w:right="1380"/>
    </w:pPr>
    <w:rPr>
      <w:rFonts w:cs="TimesLTStd-Roman"/>
      <w:sz w:val="20"/>
      <w:szCs w:val="20"/>
    </w:rPr>
  </w:style>
  <w:style w:type="paragraph" w:customStyle="1" w:styleId="PARA">
    <w:name w:val="PARA"/>
    <w:basedOn w:val="Normal"/>
    <w:rsid w:val="00EC3F6B"/>
    <w:pPr>
      <w:suppressAutoHyphens/>
      <w:autoSpaceDE w:val="0"/>
      <w:autoSpaceDN w:val="0"/>
      <w:adjustRightInd w:val="0"/>
      <w:spacing w:line="240" w:lineRule="exact"/>
      <w:jc w:val="both"/>
    </w:pPr>
    <w:rPr>
      <w:rFonts w:cs="TimesLTStd-Roman"/>
      <w:spacing w:val="-2"/>
      <w:sz w:val="20"/>
      <w:szCs w:val="20"/>
    </w:rPr>
  </w:style>
  <w:style w:type="paragraph" w:customStyle="1" w:styleId="PARAIndent">
    <w:name w:val="PARA_Indent"/>
    <w:basedOn w:val="PARA"/>
    <w:rsid w:val="009F494B"/>
    <w:pPr>
      <w:ind w:firstLine="200"/>
    </w:pPr>
  </w:style>
  <w:style w:type="character" w:customStyle="1" w:styleId="ITAL">
    <w:name w:val="ITAL"/>
    <w:rsid w:val="009F494B"/>
    <w:rPr>
      <w:i/>
    </w:rPr>
  </w:style>
  <w:style w:type="paragraph" w:customStyle="1" w:styleId="AU">
    <w:name w:val="AU"/>
    <w:basedOn w:val="Normal"/>
    <w:rsid w:val="00084BD2"/>
    <w:pPr>
      <w:spacing w:after="100"/>
      <w:ind w:right="1380"/>
    </w:pPr>
    <w:rPr>
      <w:rFonts w:ascii="Helvetica" w:hAnsi="Helvetica"/>
      <w:b/>
      <w:sz w:val="20"/>
      <w:szCs w:val="20"/>
    </w:rPr>
  </w:style>
  <w:style w:type="paragraph" w:customStyle="1" w:styleId="Aff">
    <w:name w:val="Aff"/>
    <w:basedOn w:val="Normal"/>
    <w:rsid w:val="003B3FFE"/>
    <w:pPr>
      <w:spacing w:after="40" w:line="140" w:lineRule="exact"/>
      <w:ind w:right="1380"/>
    </w:pPr>
    <w:rPr>
      <w:sz w:val="14"/>
    </w:rPr>
  </w:style>
  <w:style w:type="paragraph" w:customStyle="1" w:styleId="CA">
    <w:name w:val="CA"/>
    <w:basedOn w:val="Normal"/>
    <w:rsid w:val="00EC3F6B"/>
    <w:pPr>
      <w:spacing w:before="100" w:after="100"/>
      <w:ind w:right="1380"/>
    </w:pPr>
    <w:rPr>
      <w:sz w:val="15"/>
    </w:rPr>
  </w:style>
  <w:style w:type="paragraph" w:customStyle="1" w:styleId="PI">
    <w:name w:val="PI"/>
    <w:basedOn w:val="Normal"/>
    <w:rsid w:val="00084BD2"/>
    <w:pPr>
      <w:spacing w:after="540" w:line="180" w:lineRule="exact"/>
      <w:ind w:right="1600" w:firstLine="180"/>
    </w:pPr>
    <w:rPr>
      <w:sz w:val="15"/>
    </w:rPr>
  </w:style>
  <w:style w:type="paragraph" w:customStyle="1" w:styleId="PaperTitle">
    <w:name w:val="Paper Title"/>
    <w:basedOn w:val="Normal"/>
    <w:rsid w:val="00105925"/>
    <w:pPr>
      <w:spacing w:before="480" w:after="300"/>
    </w:pPr>
    <w:rPr>
      <w:rFonts w:ascii="Helvetica" w:hAnsi="Helvetica"/>
      <w:b/>
      <w:color w:val="00629B"/>
      <w:sz w:val="44"/>
      <w:szCs w:val="44"/>
    </w:rPr>
  </w:style>
  <w:style w:type="paragraph" w:customStyle="1" w:styleId="H1">
    <w:name w:val="H1"/>
    <w:basedOn w:val="Normal"/>
    <w:rsid w:val="00105925"/>
    <w:pPr>
      <w:autoSpaceDE w:val="0"/>
      <w:autoSpaceDN w:val="0"/>
      <w:adjustRightInd w:val="0"/>
      <w:spacing w:before="240"/>
    </w:pPr>
    <w:rPr>
      <w:rFonts w:ascii="Helvetica" w:hAnsi="Helvetica" w:cs="FormataOTF-Bold"/>
      <w:b/>
      <w:bCs/>
      <w:color w:val="00629B"/>
      <w:sz w:val="18"/>
      <w:szCs w:val="18"/>
    </w:rPr>
  </w:style>
  <w:style w:type="numbering" w:customStyle="1" w:styleId="H2Restart">
    <w:name w:val="H2_Restart"/>
    <w:rsid w:val="00ED4E28"/>
    <w:pPr>
      <w:numPr>
        <w:numId w:val="13"/>
      </w:numPr>
    </w:pPr>
  </w:style>
  <w:style w:type="paragraph" w:customStyle="1" w:styleId="Equation">
    <w:name w:val="Equation"/>
    <w:basedOn w:val="Normal"/>
    <w:rsid w:val="00680E60"/>
    <w:pPr>
      <w:tabs>
        <w:tab w:val="left" w:pos="4584"/>
      </w:tabs>
      <w:autoSpaceDE w:val="0"/>
      <w:autoSpaceDN w:val="0"/>
      <w:adjustRightInd w:val="0"/>
      <w:spacing w:before="120" w:after="120"/>
      <w:ind w:left="1600"/>
    </w:pPr>
    <w:rPr>
      <w:rFonts w:cs="MTSYN"/>
      <w:i/>
      <w:sz w:val="20"/>
      <w:szCs w:val="20"/>
    </w:rPr>
  </w:style>
  <w:style w:type="paragraph" w:customStyle="1" w:styleId="FigCaption">
    <w:name w:val="Fig Caption"/>
    <w:basedOn w:val="Normal"/>
    <w:rsid w:val="00443AB2"/>
    <w:pPr>
      <w:numPr>
        <w:numId w:val="5"/>
      </w:numPr>
      <w:autoSpaceDE w:val="0"/>
      <w:autoSpaceDN w:val="0"/>
      <w:adjustRightInd w:val="0"/>
      <w:spacing w:before="140"/>
    </w:pPr>
    <w:rPr>
      <w:rFonts w:ascii="Helvetica" w:hAnsi="Helvetica" w:cs="FormataOTF-Bold"/>
      <w:b/>
      <w:bCs/>
      <w:sz w:val="14"/>
      <w:szCs w:val="14"/>
    </w:rPr>
  </w:style>
  <w:style w:type="character" w:customStyle="1" w:styleId="CaptionColor">
    <w:name w:val="Caption Color"/>
    <w:rsid w:val="00B06847"/>
    <w:rPr>
      <w:rFonts w:ascii="Helvetica" w:hAnsi="Helvetica" w:cs="FormataOTF-Bold"/>
      <w:bCs/>
      <w:color w:val="00629B"/>
      <w:sz w:val="14"/>
      <w:szCs w:val="14"/>
    </w:rPr>
  </w:style>
  <w:style w:type="paragraph" w:customStyle="1" w:styleId="H3">
    <w:name w:val="H3"/>
    <w:basedOn w:val="Normal"/>
    <w:rsid w:val="006817D9"/>
    <w:pPr>
      <w:numPr>
        <w:numId w:val="6"/>
      </w:numPr>
      <w:tabs>
        <w:tab w:val="clear" w:pos="320"/>
        <w:tab w:val="left" w:pos="240"/>
      </w:tabs>
      <w:autoSpaceDE w:val="0"/>
      <w:autoSpaceDN w:val="0"/>
      <w:adjustRightInd w:val="0"/>
      <w:spacing w:before="80"/>
    </w:pPr>
    <w:rPr>
      <w:rFonts w:ascii="Helvetica" w:hAnsi="Helvetica" w:cs="FormataOTF-Reg"/>
      <w:caps/>
      <w:color w:val="58595B"/>
      <w:sz w:val="18"/>
      <w:szCs w:val="18"/>
    </w:rPr>
  </w:style>
  <w:style w:type="paragraph" w:customStyle="1" w:styleId="TableCaption">
    <w:name w:val="Table Caption"/>
    <w:basedOn w:val="Normal"/>
    <w:rsid w:val="00231E14"/>
    <w:pPr>
      <w:autoSpaceDE w:val="0"/>
      <w:autoSpaceDN w:val="0"/>
      <w:adjustRightInd w:val="0"/>
      <w:spacing w:before="320" w:after="220"/>
    </w:pPr>
    <w:rPr>
      <w:rFonts w:ascii="Helvetica" w:hAnsi="Helvetica" w:cs="FormataOTFMd"/>
      <w:b/>
      <w:sz w:val="14"/>
      <w:szCs w:val="14"/>
    </w:rPr>
  </w:style>
  <w:style w:type="paragraph" w:customStyle="1" w:styleId="H4">
    <w:name w:val="H4"/>
    <w:basedOn w:val="Normal"/>
    <w:rsid w:val="00105925"/>
    <w:pPr>
      <w:autoSpaceDE w:val="0"/>
      <w:autoSpaceDN w:val="0"/>
      <w:adjustRightInd w:val="0"/>
      <w:spacing w:before="480"/>
    </w:pPr>
    <w:rPr>
      <w:rFonts w:ascii="Helvetica" w:hAnsi="Helvetica" w:cs="FormataOTF-Italic"/>
      <w:i/>
      <w:iCs/>
      <w:color w:val="58595B"/>
      <w:sz w:val="18"/>
      <w:szCs w:val="18"/>
    </w:rPr>
  </w:style>
  <w:style w:type="paragraph" w:customStyle="1" w:styleId="H1ListNoSpace">
    <w:name w:val="H1_List (No Space)"/>
    <w:basedOn w:val="H1"/>
    <w:qFormat/>
    <w:rsid w:val="00F448F1"/>
    <w:pPr>
      <w:numPr>
        <w:numId w:val="4"/>
      </w:numPr>
      <w:spacing w:before="0"/>
    </w:pPr>
  </w:style>
  <w:style w:type="paragraph" w:customStyle="1" w:styleId="Ref1">
    <w:name w:val="Ref_1"/>
    <w:basedOn w:val="Normal"/>
    <w:rsid w:val="00105925"/>
    <w:pPr>
      <w:autoSpaceDE w:val="0"/>
      <w:autoSpaceDN w:val="0"/>
      <w:adjustRightInd w:val="0"/>
      <w:spacing w:before="40"/>
      <w:ind w:left="300" w:hanging="260"/>
      <w:jc w:val="both"/>
    </w:pPr>
    <w:rPr>
      <w:rFonts w:cs="TimesLTStd-Roman"/>
      <w:sz w:val="15"/>
      <w:szCs w:val="15"/>
    </w:rPr>
  </w:style>
  <w:style w:type="paragraph" w:customStyle="1" w:styleId="Ref">
    <w:name w:val="Ref"/>
    <w:basedOn w:val="Ref1"/>
    <w:rsid w:val="007573E5"/>
    <w:pPr>
      <w:spacing w:before="0"/>
    </w:pPr>
  </w:style>
  <w:style w:type="paragraph" w:customStyle="1" w:styleId="AUBios">
    <w:name w:val="AU_Bios"/>
    <w:basedOn w:val="Normal"/>
    <w:rsid w:val="00323E56"/>
    <w:pPr>
      <w:autoSpaceDE w:val="0"/>
      <w:autoSpaceDN w:val="0"/>
      <w:adjustRightInd w:val="0"/>
      <w:spacing w:before="1340"/>
      <w:jc w:val="both"/>
    </w:pPr>
    <w:rPr>
      <w:rFonts w:cs="TimesLTStd-Roman"/>
      <w:sz w:val="16"/>
      <w:szCs w:val="16"/>
    </w:rPr>
  </w:style>
  <w:style w:type="character" w:customStyle="1" w:styleId="AUBiosbd">
    <w:name w:val="AU_Bios bd"/>
    <w:rsid w:val="00382E5B"/>
    <w:rPr>
      <w:rFonts w:ascii="Helvetica" w:hAnsi="Helvetica" w:cs="FormataOTFMd"/>
      <w:b/>
    </w:rPr>
  </w:style>
  <w:style w:type="paragraph" w:styleId="Header">
    <w:name w:val="header"/>
    <w:basedOn w:val="Normal"/>
    <w:rsid w:val="00E721A9"/>
    <w:pPr>
      <w:tabs>
        <w:tab w:val="center" w:pos="4320"/>
        <w:tab w:val="right" w:pos="8640"/>
      </w:tabs>
    </w:pPr>
  </w:style>
  <w:style w:type="paragraph" w:styleId="Footer">
    <w:name w:val="footer"/>
    <w:basedOn w:val="Normal"/>
    <w:rsid w:val="00E721A9"/>
    <w:pPr>
      <w:tabs>
        <w:tab w:val="center" w:pos="4320"/>
        <w:tab w:val="right" w:pos="8640"/>
      </w:tabs>
    </w:pPr>
  </w:style>
  <w:style w:type="character" w:customStyle="1" w:styleId="SuperScript">
    <w:name w:val="Super Script"/>
    <w:rsid w:val="00947BF1"/>
    <w:rPr>
      <w:vertAlign w:val="superscript"/>
    </w:rPr>
  </w:style>
  <w:style w:type="paragraph" w:customStyle="1" w:styleId="PINoSpace">
    <w:name w:val="PI_No Space"/>
    <w:basedOn w:val="PI"/>
    <w:rsid w:val="00084BD2"/>
    <w:pPr>
      <w:spacing w:after="0"/>
    </w:pPr>
  </w:style>
  <w:style w:type="paragraph" w:customStyle="1" w:styleId="Text">
    <w:name w:val="Text"/>
    <w:basedOn w:val="Normal"/>
    <w:rsid w:val="00486E60"/>
    <w:pPr>
      <w:widowControl w:val="0"/>
      <w:spacing w:line="252" w:lineRule="auto"/>
      <w:ind w:firstLine="202"/>
      <w:jc w:val="both"/>
    </w:pPr>
    <w:rPr>
      <w:sz w:val="20"/>
      <w:szCs w:val="20"/>
    </w:rPr>
  </w:style>
  <w:style w:type="paragraph" w:customStyle="1" w:styleId="H3Space">
    <w:name w:val="H3_Space"/>
    <w:basedOn w:val="H3"/>
    <w:rsid w:val="00A21E81"/>
    <w:pPr>
      <w:spacing w:before="260"/>
    </w:pPr>
  </w:style>
  <w:style w:type="character" w:customStyle="1" w:styleId="BodyText2">
    <w:name w:val="Body Text2"/>
    <w:rsid w:val="00ED72C1"/>
    <w:rPr>
      <w:rFonts w:ascii="Verdana" w:hAnsi="Verdana" w:cs="Verdana"/>
      <w:color w:val="000000"/>
      <w:sz w:val="22"/>
      <w:szCs w:val="22"/>
    </w:rPr>
  </w:style>
  <w:style w:type="paragraph" w:styleId="FootnoteText">
    <w:name w:val="footnote text"/>
    <w:basedOn w:val="Normal"/>
    <w:link w:val="FootnoteTextChar"/>
    <w:semiHidden/>
    <w:rsid w:val="00856CFF"/>
    <w:pPr>
      <w:ind w:firstLine="202"/>
      <w:jc w:val="both"/>
    </w:pPr>
    <w:rPr>
      <w:sz w:val="16"/>
      <w:szCs w:val="16"/>
      <w:lang w:val="x-none" w:eastAsia="x-none"/>
    </w:rPr>
  </w:style>
  <w:style w:type="paragraph" w:customStyle="1" w:styleId="TableTitle">
    <w:name w:val="Table Title"/>
    <w:basedOn w:val="Normal"/>
    <w:rsid w:val="00856CFF"/>
    <w:pPr>
      <w:jc w:val="center"/>
    </w:pPr>
    <w:rPr>
      <w:smallCaps/>
      <w:sz w:val="16"/>
      <w:szCs w:val="16"/>
    </w:rPr>
  </w:style>
  <w:style w:type="character" w:customStyle="1" w:styleId="FootnoteTextChar">
    <w:name w:val="Footnote Text Char"/>
    <w:link w:val="FootnoteText"/>
    <w:semiHidden/>
    <w:rsid w:val="00856CFF"/>
    <w:rPr>
      <w:sz w:val="16"/>
      <w:szCs w:val="16"/>
      <w:lang w:val="x-none" w:eastAsia="x-none" w:bidi="ar-SA"/>
    </w:rPr>
  </w:style>
  <w:style w:type="paragraph" w:customStyle="1" w:styleId="H2AfterH1">
    <w:name w:val="H2_After H1"/>
    <w:rsid w:val="00A06892"/>
    <w:pPr>
      <w:numPr>
        <w:numId w:val="37"/>
      </w:numPr>
      <w:spacing w:before="120"/>
    </w:pPr>
    <w:rPr>
      <w:rFonts w:ascii="Helvetica" w:hAnsi="Helvetica" w:cs="FormataOTFMdIt"/>
      <w:b/>
      <w:i/>
      <w:caps/>
      <w:color w:val="58595B"/>
      <w:sz w:val="18"/>
      <w:szCs w:val="18"/>
      <w:lang w:val="en-US" w:eastAsia="en-US"/>
    </w:rPr>
  </w:style>
  <w:style w:type="character" w:customStyle="1" w:styleId="bodytype">
    <w:name w:val="body type"/>
    <w:rsid w:val="00457310"/>
    <w:rPr>
      <w:rFonts w:ascii="Formata-Regular" w:hAnsi="Formata-Regular" w:cs="Formata-Regular"/>
      <w:color w:val="000000"/>
      <w:sz w:val="22"/>
      <w:szCs w:val="22"/>
    </w:rPr>
  </w:style>
  <w:style w:type="paragraph" w:customStyle="1" w:styleId="Style1">
    <w:name w:val="Style1"/>
    <w:basedOn w:val="Normal"/>
    <w:link w:val="Style1Char"/>
    <w:qFormat/>
    <w:rsid w:val="00457310"/>
    <w:pPr>
      <w:keepNext/>
      <w:spacing w:before="240" w:after="80"/>
      <w:jc w:val="center"/>
      <w:outlineLvl w:val="0"/>
    </w:pPr>
    <w:rPr>
      <w:smallCaps/>
      <w:kern w:val="28"/>
      <w:sz w:val="20"/>
      <w:szCs w:val="20"/>
      <w:lang w:val="x-none" w:eastAsia="x-none"/>
    </w:rPr>
  </w:style>
  <w:style w:type="character" w:customStyle="1" w:styleId="Style1Char">
    <w:name w:val="Style1 Char"/>
    <w:link w:val="Style1"/>
    <w:rsid w:val="00457310"/>
    <w:rPr>
      <w:smallCaps/>
      <w:kern w:val="28"/>
      <w:lang w:val="x-none" w:eastAsia="x-none" w:bidi="ar-SA"/>
    </w:rPr>
  </w:style>
  <w:style w:type="character" w:styleId="FootnoteReference">
    <w:name w:val="footnote reference"/>
    <w:semiHidden/>
    <w:rsid w:val="001C597C"/>
    <w:rPr>
      <w:vertAlign w:val="superscript"/>
    </w:rPr>
  </w:style>
  <w:style w:type="paragraph" w:customStyle="1" w:styleId="References">
    <w:name w:val="References"/>
    <w:basedOn w:val="Normal"/>
    <w:rsid w:val="0014141F"/>
    <w:pPr>
      <w:numPr>
        <w:numId w:val="3"/>
      </w:numPr>
      <w:ind w:left="360"/>
      <w:jc w:val="both"/>
    </w:pPr>
    <w:rPr>
      <w:sz w:val="16"/>
      <w:szCs w:val="16"/>
    </w:rPr>
  </w:style>
  <w:style w:type="paragraph" w:customStyle="1" w:styleId="AUBiosNoSpace">
    <w:name w:val="AU_Bios_No Space"/>
    <w:basedOn w:val="AUBios"/>
    <w:rsid w:val="006A0B53"/>
    <w:pPr>
      <w:spacing w:before="0"/>
      <w:ind w:firstLine="180"/>
    </w:pPr>
  </w:style>
  <w:style w:type="paragraph" w:customStyle="1" w:styleId="FigureCaption">
    <w:name w:val="Figure Caption"/>
    <w:basedOn w:val="Normal"/>
    <w:rsid w:val="0003253A"/>
    <w:pPr>
      <w:jc w:val="both"/>
    </w:pPr>
    <w:rPr>
      <w:sz w:val="16"/>
      <w:szCs w:val="16"/>
    </w:rPr>
  </w:style>
  <w:style w:type="paragraph" w:customStyle="1" w:styleId="H1ListSpace">
    <w:name w:val="H1_List (Space)"/>
    <w:basedOn w:val="H1ListNoSpace"/>
    <w:rsid w:val="009A7E35"/>
    <w:pPr>
      <w:spacing w:before="240"/>
      <w:ind w:left="280" w:hanging="280"/>
    </w:pPr>
    <w:rPr>
      <w:rFonts w:cs="Times New Roman"/>
      <w:szCs w:val="20"/>
    </w:rPr>
  </w:style>
  <w:style w:type="paragraph" w:customStyle="1" w:styleId="H2First">
    <w:name w:val="H2_First"/>
    <w:basedOn w:val="Normal"/>
    <w:qFormat/>
    <w:rsid w:val="006D5343"/>
    <w:pPr>
      <w:numPr>
        <w:numId w:val="18"/>
      </w:numPr>
      <w:autoSpaceDE w:val="0"/>
      <w:autoSpaceDN w:val="0"/>
      <w:adjustRightInd w:val="0"/>
      <w:spacing w:before="260"/>
      <w:ind w:left="0" w:firstLine="0"/>
    </w:pPr>
    <w:rPr>
      <w:rFonts w:ascii="Helvetica" w:hAnsi="Helvetica" w:cs="FormataOTFMdIt"/>
      <w:b/>
      <w:i/>
      <w:color w:val="58595B"/>
      <w:sz w:val="18"/>
      <w:szCs w:val="18"/>
    </w:rPr>
  </w:style>
  <w:style w:type="paragraph" w:customStyle="1" w:styleId="H2ConSpaceBefore12pt">
    <w:name w:val="H2_Con Space(Before: 12 pt)"/>
    <w:basedOn w:val="H2AfterH1"/>
    <w:rsid w:val="00440B9E"/>
    <w:pPr>
      <w:numPr>
        <w:numId w:val="15"/>
      </w:numPr>
      <w:spacing w:before="260"/>
    </w:pPr>
    <w:rPr>
      <w:rFonts w:cs="Times New Roman"/>
      <w:bCs/>
      <w:iCs/>
      <w:szCs w:val="20"/>
    </w:rPr>
  </w:style>
  <w:style w:type="paragraph" w:customStyle="1" w:styleId="H2ConNoSpace">
    <w:name w:val="H2_Con NoSpace"/>
    <w:rsid w:val="0033583E"/>
    <w:pPr>
      <w:numPr>
        <w:numId w:val="9"/>
      </w:numPr>
    </w:pPr>
    <w:rPr>
      <w:rFonts w:ascii="Helvetica" w:hAnsi="Helvetica"/>
      <w:b/>
      <w:bCs/>
      <w:i/>
      <w:iCs/>
      <w:color w:val="58595B"/>
      <w:sz w:val="18"/>
      <w:lang w:val="en-US" w:eastAsia="en-US"/>
    </w:rPr>
  </w:style>
  <w:style w:type="paragraph" w:customStyle="1" w:styleId="StyleH2ConNoSpace">
    <w:name w:val="Style H2_Con NoSpace"/>
    <w:basedOn w:val="H2ConSpaceBefore12pt"/>
    <w:rsid w:val="00BC57BB"/>
    <w:pPr>
      <w:spacing w:before="0"/>
    </w:pPr>
  </w:style>
  <w:style w:type="numbering" w:customStyle="1" w:styleId="H2afterH1New">
    <w:name w:val="H2 after H1_New"/>
    <w:rsid w:val="0033583E"/>
    <w:pPr>
      <w:numPr>
        <w:numId w:val="10"/>
      </w:numPr>
    </w:pPr>
  </w:style>
  <w:style w:type="paragraph" w:customStyle="1" w:styleId="H2Cont">
    <w:name w:val="H2_Cont"/>
    <w:rsid w:val="007C4B89"/>
    <w:pPr>
      <w:numPr>
        <w:numId w:val="40"/>
      </w:numPr>
      <w:spacing w:before="260"/>
    </w:pPr>
    <w:rPr>
      <w:rFonts w:ascii="Helvetica" w:hAnsi="Helvetica"/>
      <w:b/>
      <w:bCs/>
      <w:i/>
      <w:iCs/>
      <w:color w:val="58595B"/>
      <w:sz w:val="18"/>
      <w:lang w:val="en-US" w:eastAsia="en-US"/>
    </w:rPr>
  </w:style>
  <w:style w:type="paragraph" w:customStyle="1" w:styleId="H2ContNoSpace">
    <w:name w:val="H2_Cont (No Space)"/>
    <w:basedOn w:val="H2AfterH1"/>
    <w:rsid w:val="00332A2D"/>
    <w:pPr>
      <w:spacing w:before="0"/>
    </w:pPr>
    <w:rPr>
      <w:rFonts w:cs="Times New Roman"/>
      <w:bCs/>
      <w:iCs/>
      <w:szCs w:val="20"/>
    </w:rPr>
  </w:style>
  <w:style w:type="paragraph" w:styleId="BalloonText">
    <w:name w:val="Balloon Text"/>
    <w:basedOn w:val="Normal"/>
    <w:link w:val="BalloonTextChar"/>
    <w:rsid w:val="00B43D5E"/>
    <w:rPr>
      <w:rFonts w:ascii="Tahoma" w:hAnsi="Tahoma" w:cs="Tahoma"/>
      <w:sz w:val="16"/>
      <w:szCs w:val="16"/>
    </w:rPr>
  </w:style>
  <w:style w:type="character" w:customStyle="1" w:styleId="BalloonTextChar">
    <w:name w:val="Balloon Text Char"/>
    <w:basedOn w:val="DefaultParagraphFont"/>
    <w:link w:val="BalloonText"/>
    <w:rsid w:val="00B43D5E"/>
    <w:rPr>
      <w:rFonts w:ascii="Tahoma" w:hAnsi="Tahoma" w:cs="Tahoma"/>
      <w:sz w:val="16"/>
      <w:szCs w:val="16"/>
      <w:lang w:val="en-US" w:eastAsia="en-US"/>
    </w:rPr>
  </w:style>
  <w:style w:type="character" w:styleId="CommentReference">
    <w:name w:val="annotation reference"/>
    <w:basedOn w:val="DefaultParagraphFont"/>
    <w:semiHidden/>
    <w:unhideWhenUsed/>
    <w:rsid w:val="006621CC"/>
    <w:rPr>
      <w:sz w:val="16"/>
      <w:szCs w:val="16"/>
    </w:rPr>
  </w:style>
  <w:style w:type="paragraph" w:styleId="CommentText">
    <w:name w:val="annotation text"/>
    <w:basedOn w:val="Normal"/>
    <w:link w:val="CommentTextChar"/>
    <w:unhideWhenUsed/>
    <w:rsid w:val="006621CC"/>
    <w:rPr>
      <w:sz w:val="20"/>
      <w:szCs w:val="20"/>
    </w:rPr>
  </w:style>
  <w:style w:type="character" w:customStyle="1" w:styleId="CommentTextChar">
    <w:name w:val="Comment Text Char"/>
    <w:basedOn w:val="DefaultParagraphFont"/>
    <w:link w:val="CommentText"/>
    <w:rsid w:val="006621CC"/>
    <w:rPr>
      <w:lang w:val="en-US" w:eastAsia="en-US"/>
    </w:rPr>
  </w:style>
  <w:style w:type="paragraph" w:styleId="CommentSubject">
    <w:name w:val="annotation subject"/>
    <w:basedOn w:val="CommentText"/>
    <w:next w:val="CommentText"/>
    <w:link w:val="CommentSubjectChar"/>
    <w:semiHidden/>
    <w:unhideWhenUsed/>
    <w:rsid w:val="006621CC"/>
    <w:rPr>
      <w:b/>
      <w:bCs/>
    </w:rPr>
  </w:style>
  <w:style w:type="character" w:customStyle="1" w:styleId="CommentSubjectChar">
    <w:name w:val="Comment Subject Char"/>
    <w:basedOn w:val="CommentTextChar"/>
    <w:link w:val="CommentSubject"/>
    <w:semiHidden/>
    <w:rsid w:val="006621CC"/>
    <w:rPr>
      <w:b/>
      <w:bCs/>
      <w:lang w:val="en-US" w:eastAsia="en-US"/>
    </w:rPr>
  </w:style>
  <w:style w:type="paragraph" w:customStyle="1" w:styleId="REFBUL">
    <w:name w:val="REF_BUL"/>
    <w:basedOn w:val="PARA"/>
    <w:qFormat/>
    <w:rsid w:val="001C495F"/>
    <w:pPr>
      <w:numPr>
        <w:numId w:val="42"/>
      </w:numPr>
      <w:ind w:left="480" w:hanging="240"/>
    </w:pPr>
    <w:rPr>
      <w:i/>
    </w:rPr>
  </w:style>
  <w:style w:type="paragraph" w:customStyle="1" w:styleId="REFTxt">
    <w:name w:val="REF_Txt"/>
    <w:basedOn w:val="Normal"/>
    <w:qFormat/>
    <w:rsid w:val="001C495F"/>
    <w:pPr>
      <w:ind w:left="480"/>
      <w:jc w:val="both"/>
    </w:pPr>
    <w:rPr>
      <w:sz w:val="20"/>
      <w:szCs w:val="16"/>
    </w:rPr>
  </w:style>
  <w:style w:type="paragraph" w:customStyle="1" w:styleId="StyleREFTxt8ptItalic">
    <w:name w:val="Style REF_Txt + 8 pt Italic"/>
    <w:basedOn w:val="REFTxt"/>
    <w:rsid w:val="009116B8"/>
    <w:rPr>
      <w:i/>
      <w:iCs/>
    </w:rPr>
  </w:style>
  <w:style w:type="character" w:styleId="Emphasis">
    <w:name w:val="Emphasis"/>
    <w:basedOn w:val="DefaultParagraphFont"/>
    <w:uiPriority w:val="20"/>
    <w:qFormat/>
    <w:rsid w:val="00505C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eee.org/publications/services/thesaurus.html" TargetMode="Externa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oleObject" Target="embeddings/oleObject1.bin"/><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verleaf.com/blog/278-how-to-use-overleaf-with-ieee-collabratec-your-quick-guide-to-getting-started" TargetMode="External"/><Relationship Id="rId24" Type="http://schemas.openxmlformats.org/officeDocument/2006/relationships/image" Target="media/image7.tiff"/><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6.tiff"/><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5.tiff"/><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7A4D4-BF06-4BA0-A3D8-63287419C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5623</Words>
  <Characters>32056</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Date of publication xxxx 00, 0000, date of current version xxxx 00, 0000</vt:lpstr>
    </vt:vector>
  </TitlesOfParts>
  <Company>Hewlett-Packard Company</Company>
  <LinksUpToDate>false</LinksUpToDate>
  <CharactersWithSpaces>37604</CharactersWithSpaces>
  <SharedDoc>false</SharedDoc>
  <HLinks>
    <vt:vector size="12" baseType="variant">
      <vt:variant>
        <vt:i4>2555906</vt:i4>
      </vt:variant>
      <vt:variant>
        <vt:i4>6</vt:i4>
      </vt:variant>
      <vt:variant>
        <vt:i4>0</vt:i4>
      </vt:variant>
      <vt:variant>
        <vt:i4>5</vt:i4>
      </vt:variant>
      <vt:variant>
        <vt:lpwstr>mailto:graphics@ieee.org</vt:lpwstr>
      </vt:variant>
      <vt:variant>
        <vt:lpwstr/>
      </vt:variant>
      <vt:variant>
        <vt:i4>7405602</vt:i4>
      </vt:variant>
      <vt:variant>
        <vt:i4>3</vt:i4>
      </vt:variant>
      <vt:variant>
        <vt:i4>0</vt:i4>
      </vt:variant>
      <vt:variant>
        <vt:i4>5</vt:i4>
      </vt:variant>
      <vt:variant>
        <vt:lpwstr>http://graphicsqc.ieee.org/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Execution Latency in Multi-Agent Orchestration: A Skynet Operational Case Study</dc:title>
  <dc:creator>Exzil Calanza</dc:creator>
  <cp:lastModifiedBy>Eric Charbonneau</cp:lastModifiedBy>
  <cp:revision>4</cp:revision>
  <cp:lastPrinted>2022-11-11T11:49:00Z</cp:lastPrinted>
  <dcterms:created xsi:type="dcterms:W3CDTF">2024-04-29T14:52:00Z</dcterms:created>
  <dcterms:modified xsi:type="dcterms:W3CDTF">2024-04-30T12:36:00Z</dcterms:modified>
  <dc:subject>Case study</dc:subject>
  <cp:keywords>¢â‚¬â€ multi-agent orchestration; task decomposition; execution latency; anti-drift control; intent preservation; verification loops</cp:keywords>
  <dc:description>Independent IEEE-style site preprint; not an IEEE submission or publication.</dc:description>
</cp:coreProperties>
</file>