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</w:pPr>
      <w:r>
        <w:t>14 August 2026</w:t>
      </w:r>
    </w:p>
    <w:p>
      <w:r>
        <w:t>Editorial Office</w:t>
        <w:br/>
        <w:t>IEEE Access</w:t>
      </w:r>
    </w:p>
    <w:p>
      <w:r>
        <w:t>Re: Research Article submission - "RStackBench: A Five-Layer Fault-Injection Method for Measuring Browser-Agent Reliability Beyond Apparent Success"</w:t>
      </w:r>
    </w:p>
    <w:p>
      <w:r>
        <w:t>Dear Editor,</w:t>
      </w:r>
    </w:p>
    <w:p>
      <w:r>
        <w:t>I am submitting the enclosed manuscript for consideration as a Research Article in IEEE Access. The work introduces RStackBench, a controlled browser-agent reliability measurement method that separates apparent interface success from persisted postcondition success across Access, Perception, Action, State, and Verification layers.</w:t>
      </w:r>
    </w:p>
    <w:p>
      <w:r>
        <w:t>The final study contains 288 deterministic task conditions across three interface archetypes, 864 paired validation-script Chromium traces, a 240-trace scoring-horizon sensitivity analysis, and a separately labeled 30-pair GPT-5.6 Sol planning pilot. The principal contribution is methodological: state-changing browser tasks should be scored against the requested postcondition whenever authoritative goal evidence is available, rather than treating success UI as proof of completion.</w:t>
      </w:r>
    </w:p>
    <w:p>
      <w:r>
        <w:t>This manuscript is not under peer review elsewhere. A prior public engineering commentary on exzilcalanza.info discussed a five-layer browser-agent reliability framing. It did not contain the RStackBench method, the three-template benchmark, the datasets, the horizon sensitivity analysis, or the model pilot reported in this manuscript. That relationship is disclosed in the manuscript to avoid ambiguity regarding prior public material.</w:t>
      </w:r>
    </w:p>
    <w:p>
      <w:r>
        <w:t>The experiments operate only against localhost test applications and isolated Chromium profiles; no third-party accounts or websites were mutated. The manuscript includes an explicit AI-use disclosure identifying the roles of OpenAI GPT-5.6 Sol and Google Gemini in scripting, analysis, pilot plan generation, and manuscript assistance. All reported experimental outputs were independently reanalyzed from frozen artifacts and SHA-256 manifests.</w:t>
      </w:r>
    </w:p>
    <w:p>
      <w:r>
        <w:t>A reproducibility package containing code, serialized tasks, raw run records, independent reanalysis scripts, model-plan records, figures, and hashes has been prepared locally. A public archival location can be supplied for review once the author freezes and publishes that package.</w:t>
      </w:r>
    </w:p>
    <w:p>
      <w:r>
        <w:t>Thank you for considering this work.</w:t>
      </w:r>
    </w:p>
    <w:p>
      <w:r>
        <w:t>Sincerely,</w:t>
        <w:br/>
        <w:t>Exzil Calanza</w:t>
        <w:br/>
        <w:t>Independent Researcher</w:t>
        <w:br/>
        <w:t>Iloilo City, Philippines</w:t>
        <w:br/>
        <w:t>exzilcalanza@gmail.com</w:t>
      </w:r>
    </w:p>
    <w:sectPr w:rsidR="00FC693F" w:rsidRPr="0006063C" w:rsidSect="00034616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