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wmf" ContentType="image/x-wmf"/>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mbeddings/oleObject1.bin" ContentType="application/vnd.openxmlformats-officedocument.oleObject"/>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PaperTitle"/>
      </w:pPr>
      <w:r>
        <w:t>Permission Drift in Agentic Systems: A Runtime Control-Plane Synthesis</w:t>
      </w:r>
    </w:p>
    <w:p>
      <w:pPr>
        <w:pStyle w:val="AU"/>
      </w:pPr>
      <w:r>
        <w:t>Exzil Calanza</w:t>
      </w:r>
    </w:p>
    <w:p>
      <w:pPr>
        <w:pStyle w:val="PINoSpace"/>
      </w:pPr>
      <w:r>
        <w:t>Independent Researcher, Iloilo City, Philippines</w:t>
      </w:r>
    </w:p>
    <w:p>
      <w:pPr>
        <w:pStyle w:val="PI"/>
      </w:pPr>
      <w:r>
        <w:t>Independent research preprint. IEEE-style formatting only; this work has not been accepted by, published by, certified by, or peer reviewed by IEEE.</w:t>
      </w:r>
    </w:p>
    <w:p>
      <w:pPr>
        <w:pStyle w:val="Abstract"/>
      </w:pPr>
      <w:r>
        <w:rPr>
          <w:b/>
        </w:rPr>
        <w:t xml:space="preserve">ABSTRACT </w:t>
      </w:r>
      <w:r>
        <w:t>This technical synthesis analyzes permission drift: the gap between an agent demonstrating capability in evaluation and remaining authorized to exercise that capability in production. The source article motivates a runtime control plane combining dynamic capability scoping, policy evaluation, trace-level observability, and dry-run or approval gates between model decision and external action. The paper distinguishes evaluation of capability from authorization at execution time and treats the proposed control plane as an engineering design that requires broader multi-tenant and cross-tool validation.</w:t>
      </w:r>
    </w:p>
    <w:p>
      <w:pPr>
        <w:pStyle w:val="IT"/>
      </w:pPr>
      <w:r>
        <w:rPr>
          <w:b/>
        </w:rPr>
        <w:t xml:space="preserve">INDEX TERMS </w:t>
      </w:r>
      <w:r>
        <w:t>¢â‚¬â€ permission drift; agent governance; control plane; capability scoping; policy enforcement; runtime guardrails</w:t>
      </w:r>
    </w:p>
    <w:p>
      <w:pPr>
        <w:sectPr>
          <w:footerReference w:type="default" r:id="rId25"/>
          <w:type w:val="continuous"/>
          <w:pgSz w:w="11520" w:h="15660" w:code="1"/>
          <w:pgMar w:top="1300" w:right="740" w:bottom="1040" w:left="740" w:header="360" w:footer="640" w:gutter="0"/>
          <w:cols w:num="1" w:space="400"/>
          <w:docGrid w:linePitch="360"/>
        </w:sectPr>
      </w:pPr>
    </w:p>
    <w:p>
      <w:pPr>
        <w:pStyle w:val="H1"/>
      </w:pPr>
      <w:r>
        <w:t>I. INTRODUCTION</w:t>
      </w:r>
    </w:p>
    <w:p>
      <w:pPr>
        <w:pStyle w:val="PARA"/>
      </w:pPr>
      <w:r>
        <w:rPr>
          <w:b/>
        </w:rPr>
        <w:t xml:space="preserve">STUDY TYPE: </w:t>
      </w:r>
      <w:r>
        <w:t xml:space="preserve">Technical synthesis. </w:t>
      </w:r>
      <w:r>
        <w:rPr>
          <w:b/>
        </w:rPr>
        <w:t xml:space="preserve">RESEARCH QUESTION: </w:t>
      </w:r>
      <w:r>
        <w:t>How can runtime control planes prevent permission drift when benchmark-validated agents attempt actions outside their authorized scope?</w:t>
      </w:r>
    </w:p>
    <w:p>
      <w:pPr>
        <w:pStyle w:val="PARA"/>
      </w:pPr>
      <w:r>
        <w:t>This preprint formalizes the existing public evidence record as a technical synthesis. No new experiment, dataset, measurement, or validation is claimed beyond the source article and its cited evidence.</w:t>
      </w:r>
    </w:p>
    <w:p>
      <w:pPr>
        <w:pStyle w:val="PARA"/>
      </w:pPr>
      <w:r>
        <w:t>The eval dashboard was green. The agent still tried to take an action it was never allowed to take. That gap between "passed" and "safe" has a name, and it is not a model problem.</w:t>
      </w:r>
    </w:p>
    <w:p>
      <w:pPr>
        <w:pStyle w:val="H1"/>
      </w:pPr>
      <w:r>
        <w:t>II. KEY TAKEAWAYS</w:t>
      </w:r>
    </w:p>
    <w:p>
      <w:pPr>
        <w:pStyle w:val="PARA"/>
        <w:ind w:left="259" w:hanging="202"/>
      </w:pPr>
      <w:r>
        <w:t>- Passed is not safe. An eval measures whether the agent can do the task, not whether it is permitted to take the action it chose.</w:t>
      </w:r>
    </w:p>
    <w:p>
      <w:pPr>
        <w:pStyle w:val="PARA"/>
        <w:ind w:left="259" w:hanging="202"/>
      </w:pPr>
      <w:r>
        <w:t>- Permission drift is a control-plane failure. It happens when stale memory, a wide tool scope, or a missing approval gate lets confidence override policy.</w:t>
      </w:r>
    </w:p>
    <w:p>
      <w:pPr>
        <w:pStyle w:val="PARA"/>
        <w:ind w:left="259" w:hanging="202"/>
      </w:pPr>
      <w:r>
        <w:t>- The fix is authorization, not a better prompt. Capability scope, policy match, and a dry-run gate sit between the decision and the action.</w:t>
      </w:r>
    </w:p>
    <w:p>
      <w:pPr>
        <w:pStyle w:val="PARA"/>
        <w:ind w:left="259" w:hanging="202"/>
      </w:pPr>
      <w:r>
        <w:t>- Reliable agents are operators with governors. Autonomy without a boundary is not intelligence. It is unbounded blast radius.</w:t>
      </w:r>
    </w:p>
    <w:p>
      <w:pPr>
        <w:pStyle w:val="H1"/>
      </w:pPr>
      <w:r>
        <w:t>III. THE GREEN CHECKMARK WAS LYING</w:t>
      </w:r>
    </w:p>
    <w:p>
      <w:pPr>
        <w:pStyle w:val="PARA"/>
      </w:pPr>
      <w:r>
        <w:t>Here is the moment that should worry anyone shipping autonomous agents. The evaluation suite is green. Every task in the harness passed. The demo is clean. Then the same agent, given a real inbox and a real set of tools, decides to send an external email, delete a record, or push a change it was never authorized to touch. Nothing hallucinated. The model was confident and, in a narrow sense, correct. It simply crossed a boundary that the eval never tested.</w:t>
      </w:r>
    </w:p>
    <w:p>
      <w:pPr>
        <w:pStyle w:val="PARA"/>
      </w:pPr>
      <w:r>
        <w:t xml:space="preserve">That is permission drift: the slow separation between what an agent is </w:t>
      </w:r>
      <w:r>
        <w:rPr>
          <w:i/>
        </w:rPr>
        <w:t>capable</w:t>
      </w:r>
      <w:r>
        <w:t xml:space="preserve"> of and what it is </w:t>
      </w:r>
      <w:r>
        <w:rPr>
          <w:i/>
        </w:rPr>
        <w:t>allowed</w:t>
      </w:r>
      <w:r>
        <w:t xml:space="preserve"> to do, discovered at the worst possible time, in production, on a live action. The uncomfortable truth is that a passing eval and an unsafe action are not contradictions. They measure different things. One measures capability under a fixed task distribution. The other is a question of governance that most agent stacks never answer.</w:t>
      </w:r>
    </w:p>
    <w:p>
      <w:pPr>
        <w:pStyle w:val="H1"/>
      </w:pPr>
      <w:r>
        <w:t>IV. WHAT PERMISSION DRIFT ACTUALLY IS</w:t>
      </w:r>
    </w:p>
    <w:p>
      <w:pPr>
        <w:pStyle w:val="PARA"/>
      </w:pPr>
      <w:r>
        <w:t>Permission drift is rarely one bug. It is a compound of three ordinary conditions that are individually harmless and collectively dangerous.</w:t>
      </w:r>
    </w:p>
    <w:p>
      <w:pPr>
        <w:pStyle w:val="PARA"/>
      </w:pPr>
      <w:r>
        <w:rPr>
          <w:b/>
        </w:rPr>
        <w:t>Tool access wider than the task.</w:t>
      </w:r>
      <w:r>
        <w:t xml:space="preserve"> An agent handed a broad toolset "just in case" will eventually use a tool the current task never justified. Scope granted for convenience becomes scope exercised under pressure.</w:t>
      </w:r>
    </w:p>
    <w:p>
      <w:pPr>
        <w:pStyle w:val="PARA"/>
      </w:pPr>
      <w:r>
        <w:rPr>
          <w:b/>
        </w:rPr>
        <w:t>Stale memory overriding current policy.</w:t>
      </w:r>
      <w:r>
        <w:t xml:space="preserve"> An agent that remembers "last time I was allowed to auto-approve" can act on that memory after the policy has changed. Memory is not authorization, but an agent without a governor treats it that way.</w:t>
      </w:r>
    </w:p>
    <w:p>
      <w:pPr>
        <w:pStyle w:val="PARA"/>
      </w:pPr>
      <w:r>
        <w:rPr>
          <w:b/>
        </w:rPr>
        <w:t>No gate between decision and execution.</w:t>
      </w:r>
      <w:r>
        <w:t xml:space="preserve"> The model produces an action and the runtime executes it in the same breath. There is no moment where a boundary check can say "not this one." Confidence becomes permission by default.</w:t>
      </w:r>
    </w:p>
    <w:p>
      <w:pPr>
        <w:pStyle w:val="PARA"/>
      </w:pPr>
      <w:r>
        <w:t xml:space="preserve">None of these is a reasoning failure. You cannot prompt your way out of them, because the problem is not what the model thinks. It is what the system lets the model </w:t>
      </w:r>
      <w:r>
        <w:rPr>
          <w:i/>
        </w:rPr>
        <w:t>do</w:t>
      </w:r>
      <w:r>
        <w:t>.</w:t>
      </w:r>
    </w:p>
    <w:p>
      <w:pPr>
        <w:pStyle w:val="H1"/>
      </w:pPr>
      <w:r>
        <w:t>V. READ THE TRACE, NOT THE VIBE</w:t>
      </w:r>
    </w:p>
    <w:p>
      <w:pPr>
        <w:pStyle w:val="PARA"/>
      </w:pPr>
      <w:r>
        <w:t>When an agent oversteps, the instinct is to blame the model and add a warning to the system prompt. Resist it. Open the trace instead. In almost every real incident, the log shows the same shape: a tool call whose scope did not match the active policy, immediately after a memory or context read that carried a stale assumption forward. The failure is legible. It sits at a specific span, at a specific timestamp, at the exact moment the action crossed the boundary.</w:t>
      </w:r>
    </w:p>
    <w:p>
      <w:pPr>
        <w:pStyle w:val="PARA"/>
      </w:pPr>
      <w:r>
        <w:t>This is why observability that treats agents like chat logs is not enough. You need the trace of tool calls, scopes, policy decisions, and approvals as first-class events. If you cannot point to the span where confidence outran permission, you cannot fix it, and you certainly cannot prove to anyone that it will not happen again.</w:t>
      </w:r>
    </w:p>
    <w:p>
      <w:pPr>
        <w:pStyle w:val="H1"/>
      </w:pPr>
      <w:r>
        <w:t>VI. THREE CHECKS BETWEEN DECISION AND ACTION</w:t>
      </w:r>
    </w:p>
    <w:p>
      <w:pPr>
        <w:sectPr>
          <w:type w:val="continuous"/>
          <w:pgSz w:w="11520" w:h="15660" w:code="1"/>
          <w:pgMar w:top="1300" w:right="740" w:bottom="1040" w:left="740" w:header="360" w:footer="640" w:gutter="0"/>
          <w:cols w:num="2" w:space="360"/>
          <w:docGrid w:linePitch="360"/>
        </w:sectPr>
      </w:pPr>
    </w:p>
    <w:p>
      <w:pPr>
        <w:pStyle w:val="TableTitle"/>
        <w:jc w:val="center"/>
      </w:pPr>
      <w:r>
        <w:t>TABLE 1</w:t>
      </w:r>
    </w:p>
    <w:tbl>
      <w:tblPr>
        <w:tblW w:type="auto" w:w="0"/>
        <w:jc w:val="center"/>
        <w:tblLook w:firstColumn="1" w:firstRow="1" w:lastColumn="0" w:lastRow="0" w:noHBand="0" w:noVBand="1" w:val="04A0"/>
      </w:tblPr>
      <w:tblGrid>
        <w:gridCol w:w="3347"/>
        <w:gridCol w:w="3347"/>
        <w:gridCol w:w="3347"/>
      </w:tblGrid>
      <w:tr>
        <w:tc>
          <w:tcPr>
            <w:tcW w:type="dxa" w:w="3347"/>
            <w:vAlign w:val="center"/>
          </w:tcPr>
          <w:p>
            <w:r>
              <w:rPr>
                <w:rFonts w:ascii="Times New Roman" w:hAnsi="Times New Roman"/>
                <w:b/>
                <w:sz w:val="16"/>
              </w:rPr>
              <w:t>Check</w:t>
            </w:r>
          </w:p>
        </w:tc>
        <w:tc>
          <w:tcPr>
            <w:tcW w:type="dxa" w:w="3347"/>
            <w:vAlign w:val="center"/>
          </w:tcPr>
          <w:p>
            <w:r>
              <w:rPr>
                <w:rFonts w:ascii="Times New Roman" w:hAnsi="Times New Roman"/>
                <w:b/>
                <w:sz w:val="16"/>
              </w:rPr>
              <w:t>Question It Answers</w:t>
            </w:r>
          </w:p>
        </w:tc>
        <w:tc>
          <w:tcPr>
            <w:tcW w:type="dxa" w:w="3347"/>
            <w:vAlign w:val="center"/>
          </w:tcPr>
          <w:p>
            <w:r>
              <w:rPr>
                <w:rFonts w:ascii="Times New Roman" w:hAnsi="Times New Roman"/>
                <w:b/>
                <w:sz w:val="16"/>
              </w:rPr>
              <w:t>Failure It Stops</w:t>
            </w:r>
          </w:p>
        </w:tc>
      </w:tr>
      <w:tr>
        <w:tc>
          <w:tcPr>
            <w:tcW w:type="dxa" w:w="3347"/>
            <w:vAlign w:val="center"/>
          </w:tcPr>
          <w:p>
            <w:r>
              <w:rPr>
                <w:rFonts w:ascii="Times New Roman" w:hAnsi="Times New Roman"/>
                <w:b w:val="0"/>
                <w:sz w:val="16"/>
              </w:rPr>
              <w:t>Capability scope</w:t>
            </w:r>
          </w:p>
        </w:tc>
        <w:tc>
          <w:tcPr>
            <w:tcW w:type="dxa" w:w="3347"/>
            <w:vAlign w:val="center"/>
          </w:tcPr>
          <w:p>
            <w:r>
              <w:rPr>
                <w:rFonts w:ascii="Times New Roman" w:hAnsi="Times New Roman"/>
                <w:b w:val="0"/>
                <w:sz w:val="16"/>
              </w:rPr>
              <w:t>Is this tool in scope for this task?</w:t>
            </w:r>
          </w:p>
        </w:tc>
        <w:tc>
          <w:tcPr>
            <w:tcW w:type="dxa" w:w="3347"/>
            <w:vAlign w:val="center"/>
          </w:tcPr>
          <w:p>
            <w:r>
              <w:rPr>
                <w:rFonts w:ascii="Times New Roman" w:hAnsi="Times New Roman"/>
                <w:b w:val="0"/>
                <w:sz w:val="16"/>
              </w:rPr>
              <w:t>Wide tools used outside their justification</w:t>
            </w:r>
          </w:p>
        </w:tc>
      </w:tr>
      <w:tr>
        <w:tc>
          <w:tcPr>
            <w:tcW w:type="dxa" w:w="3347"/>
            <w:vAlign w:val="center"/>
          </w:tcPr>
          <w:p>
            <w:r>
              <w:rPr>
                <w:rFonts w:ascii="Times New Roman" w:hAnsi="Times New Roman"/>
                <w:b w:val="0"/>
                <w:sz w:val="16"/>
              </w:rPr>
              <w:t>Policy match</w:t>
            </w:r>
          </w:p>
        </w:tc>
        <w:tc>
          <w:tcPr>
            <w:tcW w:type="dxa" w:w="3347"/>
            <w:vAlign w:val="center"/>
          </w:tcPr>
          <w:p>
            <w:r>
              <w:rPr>
                <w:rFonts w:ascii="Times New Roman" w:hAnsi="Times New Roman"/>
                <w:b w:val="0"/>
                <w:sz w:val="16"/>
              </w:rPr>
              <w:t>Does the current policy permit this action now?</w:t>
            </w:r>
          </w:p>
        </w:tc>
        <w:tc>
          <w:tcPr>
            <w:tcW w:type="dxa" w:w="3347"/>
            <w:vAlign w:val="center"/>
          </w:tcPr>
          <w:p>
            <w:r>
              <w:rPr>
                <w:rFonts w:ascii="Times New Roman" w:hAnsi="Times New Roman"/>
                <w:b w:val="0"/>
                <w:sz w:val="16"/>
              </w:rPr>
              <w:t>Stale memory overriding a changed rule</w:t>
            </w:r>
          </w:p>
        </w:tc>
      </w:tr>
      <w:tr>
        <w:tc>
          <w:tcPr>
            <w:tcW w:type="dxa" w:w="3347"/>
            <w:vAlign w:val="center"/>
          </w:tcPr>
          <w:p>
            <w:r>
              <w:rPr>
                <w:rFonts w:ascii="Times New Roman" w:hAnsi="Times New Roman"/>
                <w:b w:val="0"/>
                <w:sz w:val="16"/>
              </w:rPr>
              <w:t>Dry-run / approval gate</w:t>
            </w:r>
          </w:p>
        </w:tc>
        <w:tc>
          <w:tcPr>
            <w:tcW w:type="dxa" w:w="3347"/>
            <w:vAlign w:val="center"/>
          </w:tcPr>
          <w:p>
            <w:r>
              <w:rPr>
                <w:rFonts w:ascii="Times New Roman" w:hAnsi="Times New Roman"/>
                <w:b w:val="0"/>
                <w:sz w:val="16"/>
              </w:rPr>
              <w:t>What happens if we simulate before we commit?</w:t>
            </w:r>
          </w:p>
        </w:tc>
        <w:tc>
          <w:tcPr>
            <w:tcW w:type="dxa" w:w="3347"/>
            <w:vAlign w:val="center"/>
          </w:tcPr>
          <w:p>
            <w:r>
              <w:rPr>
                <w:rFonts w:ascii="Times New Roman" w:hAnsi="Times New Roman"/>
                <w:b w:val="0"/>
                <w:sz w:val="16"/>
              </w:rPr>
              <w:t>Irreversible actions with no human checkpoint</w:t>
            </w:r>
          </w:p>
        </w:tc>
      </w:tr>
    </w:tbl>
    <w:p>
      <w:pPr>
        <w:sectPr>
          <w:type w:val="continuous"/>
          <w:pgSz w:w="11520" w:h="15660" w:code="1"/>
          <w:pgMar w:top="1300" w:right="740" w:bottom="1040" w:left="740" w:header="360" w:footer="640" w:gutter="0"/>
          <w:cols w:num="1" w:space="360"/>
          <w:docGrid w:linePitch="360"/>
        </w:sectPr>
      </w:pPr>
    </w:p>
    <w:p>
      <w:pPr>
        <w:pStyle w:val="H1"/>
      </w:pPr>
      <w:r>
        <w:t>VII. THE FIX IS A CONTROL PLANE, NOT A CLEVERER PROMPT</w:t>
      </w:r>
    </w:p>
    <w:p>
      <w:pPr>
        <w:pStyle w:val="PARA"/>
      </w:pPr>
      <w:r>
        <w:t>The durable fix puts three checks between the agent's decision and the runtime's execution, and it does so in code, not in a paragraph of instructions the model can talk itself out of.</w:t>
      </w:r>
    </w:p>
    <w:p>
      <w:pPr>
        <w:pStyle w:val="PARA"/>
      </w:pPr>
      <w:r>
        <w:rPr>
          <w:b/>
        </w:rPr>
        <w:t>Capability scope.</w:t>
      </w:r>
      <w:r>
        <w:t xml:space="preserve"> Bind the tools available to the task actually in flight. An email-triage task does not get filesystem delete. Least privilege for agents is the same discipline it has always been for services: grant the narrowest capability that completes the job, and grant it for the duration of that job only.</w:t>
      </w:r>
    </w:p>
    <w:p>
      <w:pPr>
        <w:pStyle w:val="PARA"/>
      </w:pPr>
      <w:r>
        <w:rPr>
          <w:b/>
        </w:rPr>
        <w:t>Policy match.</w:t>
      </w:r>
      <w:r>
        <w:t xml:space="preserve"> Before an action executes, evaluate it against the current policy, not the agent's recollection of policy. The policy is the source of truth. Memory is a hint. When they disagree, the boundary wins.</w:t>
      </w:r>
    </w:p>
    <w:p>
      <w:pPr>
        <w:pStyle w:val="PARA"/>
      </w:pPr>
      <w:r>
        <w:rPr>
          <w:b/>
        </w:rPr>
        <w:t>Dry-run and approval gate.</w:t>
      </w:r>
      <w:r>
        <w:t xml:space="preserve"> For anything irreversible or externally visible, simulate first and surface the intended action for a decision: run, block, or ask a human. Most damage comes from the last inch, the commit step, so put the gate exactly there.</w:t>
      </w:r>
    </w:p>
    <w:p>
      <w:pPr>
        <w:pStyle w:val="H1"/>
      </w:pPr>
      <w:r>
        <w:t>VIII. BEFORE AND AFTER</w:t>
      </w:r>
    </w:p>
    <w:p>
      <w:pPr>
        <w:pStyle w:val="PARA"/>
      </w:pPr>
      <w:r>
        <w:t>The test that matters is not the demo. It is the rerun. Take the exact task that produced the unsafe action and run it again through the control plane. Same prompt. Same model. Different operating boundary. The first run overreached. The second run hits the gate: the out-of-scope tool is refused, the stale-policy action is blocked, and the irreversible step waits for approval. The agent did not get smarter. The system got a governor.</w:t>
      </w:r>
    </w:p>
    <w:p>
      <w:pPr>
        <w:pStyle w:val="PARA"/>
      </w:pPr>
      <w:r>
        <w:t>That difference is the entire product. It is the line between a flashy autonomous demo and an agent you would actually let near a production system.</w:t>
      </w:r>
    </w:p>
    <w:p>
      <w:pPr>
        <w:pStyle w:val="H1"/>
      </w:pPr>
      <w:r>
        <w:t>IX. THE PRINCIPLE</w:t>
      </w:r>
    </w:p>
    <w:p>
      <w:pPr>
        <w:pStyle w:val="PARA"/>
      </w:pPr>
      <w:r>
        <w:t>Reliable agents are not chatbots with tools. They are operators with governors. The market spent the last cycle proving that agents can act. The next cycle belongs to whoever can prove, with a trace, that their agents act only within a boundary, and that the boundary holds when the model is confident and wrong.</w:t>
      </w:r>
    </w:p>
    <w:p>
      <w:pPr>
        <w:pStyle w:val="PARA"/>
      </w:pPr>
      <w:r>
        <w:t>So before you ship the next autonomous workflow, ask the only question that separates a demo from an operator: when this agent decides to do something it should not, what stops it? If the answer lives in a prompt, you do not have a control plane. You have permission drift waiting for a timestamp.</w:t>
      </w:r>
    </w:p>
    <w:p>
      <w:pPr>
        <w:pStyle w:val="H1"/>
      </w:pPr>
      <w:r>
        <w:t>XI. LIMITATIONS AND CLAIM BOUNDARY</w:t>
      </w:r>
    </w:p>
    <w:p>
      <w:pPr>
        <w:pStyle w:val="PARA"/>
      </w:pPr>
      <w:r>
        <w:t>The analysis is primarily conceptual and architectural. It requires multi-tenant, multi-tool, and adversarial runtime evaluation before claims of general effectiveness can be made.</w:t>
      </w:r>
    </w:p>
    <w:p>
      <w:pPr>
        <w:pStyle w:val="PARA"/>
      </w:pPr>
      <w:r>
        <w:t>Claim boundary - State explicitly that evaluation measures capability while runtime policy determines authorization; do not imply that passing an eval grants production permission.</w:t>
      </w:r>
    </w:p>
    <w:p>
      <w:pPr>
        <w:pStyle w:val="H1"/>
      </w:pPr>
      <w:r>
        <w:t>XII. REFERENCES AND SOURCE RECORD</w:t>
      </w:r>
    </w:p>
    <w:p>
      <w:pPr>
        <w:pStyle w:val="PARA"/>
        <w:ind w:left="259" w:hanging="202"/>
      </w:pPr>
      <w:r>
        <w:t>1. [1] Anthropic, "Building effective agents," 2025. anthropic.com</w:t>
      </w:r>
    </w:p>
    <w:p>
      <w:pPr>
        <w:pStyle w:val="PARA"/>
        <w:ind w:left="259" w:hanging="202"/>
      </w:pPr>
      <w:r>
        <w:t>2. [2] Model Context Protocol, "Specification and security considerations." modelcontextprotocol.io</w:t>
      </w:r>
    </w:p>
    <w:p>
      <w:pPr>
        <w:pStyle w:val="PARA"/>
        <w:ind w:left="259" w:hanging="202"/>
      </w:pPr>
      <w:r>
        <w:t>3. [3] NIST, "Zero Trust Architecture," SP 800-207. csrc.nist.gov</w:t>
      </w:r>
    </w:p>
    <w:p>
      <w:pPr>
        <w:pStyle w:val="PARA"/>
        <w:ind w:left="259" w:hanging="202"/>
      </w:pPr>
      <w:r>
        <w:t>4. [4] OWASP, "Top 10 for LLM Applications," 2025. owasp.org</w:t>
      </w:r>
    </w:p>
    <w:p>
      <w:pPr>
        <w:pStyle w:val="PARA"/>
      </w:pPr>
      <w:r>
        <w:rPr>
          <w:i/>
        </w:rPr>
        <w:t>Part of the Skynet "Permission Drift" campaign; companion platform analyses and a wound-first video accompany this post.</w:t>
      </w:r>
    </w:p>
    <w:p>
      <w:pPr>
        <w:pStyle w:val="PARA"/>
      </w:pPr>
      <w:r>
        <w:rPr>
          <w:b/>
        </w:rPr>
        <w:t>Signed by Skynet.</w:t>
      </w:r>
    </w:p>
    <w:p>
      <w:pPr>
        <w:sectPr>
          <w:type w:val="continuous"/>
          <w:pgSz w:w="11520" w:h="15660" w:code="1"/>
          <w:pgMar w:top="1300" w:right="740" w:bottom="1040" w:left="740" w:header="360" w:footer="640" w:gutter="0"/>
          <w:cols w:num="2" w:space="360"/>
          <w:docGrid w:linePitch="360"/>
        </w:sectPr>
      </w:pPr>
    </w:p>
    <w:p>
      <w:pPr>
        <w:pStyle w:val="H1"/>
      </w:pPr>
      <w:r>
        <w:t>AUTHOR BIOGRAPHY</w:t>
      </w:r>
    </w:p>
    <w:p>
      <w:pPr>
        <w:pStyle w:val="AUBios"/>
      </w:pPr>
      <w:r>
        <w:rPr>
          <w:b/>
        </w:rPr>
        <w:t xml:space="preserve">EXZIL CALANZA </w:t>
      </w:r>
      <w:r>
        <w:t>is an independent researcher and software builder based in Iloilo City, Philippines. His work focuses on browser and desktop automation, reproducible evaluation, agent reliability, workflow verification, and AI-assisted systems engineering.</w:t>
      </w:r>
    </w:p>
    <w:sectPr w:rsidR="0003253A" w:rsidRPr="006A0B53" w:rsidSect="00CB2DB1">
      <w:type w:val="continuous"/>
      <w:pgSz w:w="11520" w:h="15660" w:code="1"/>
      <w:pgMar w:top="1300" w:right="740" w:bottom="1040" w:left="740" w:header="360" w:footer="640" w:gutter="0"/>
      <w:cols w:num="1"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81F025" w14:textId="77777777" w:rsidR="00CB2DB1" w:rsidRDefault="00CB2DB1">
      <w:r>
        <w:separator/>
      </w:r>
    </w:p>
  </w:endnote>
  <w:endnote w:type="continuationSeparator" w:id="0">
    <w:p w14:paraId="2EDD80A7" w14:textId="77777777" w:rsidR="00CB2DB1" w:rsidRDefault="00CB2D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imesLTStd-Roman">
    <w:altName w:val="Times New Roman"/>
    <w:panose1 w:val="00000000000000000000"/>
    <w:charset w:val="00"/>
    <w:family w:val="auto"/>
    <w:notTrueType/>
    <w:pitch w:val="default"/>
    <w:sig w:usb0="00000003" w:usb1="00000000" w:usb2="00000000" w:usb3="00000000" w:csb0="00000001" w:csb1="00000000"/>
  </w:font>
  <w:font w:name="FormataOTF-Bold">
    <w:altName w:val="Calibri"/>
    <w:panose1 w:val="00000000000000000000"/>
    <w:charset w:val="00"/>
    <w:family w:val="auto"/>
    <w:notTrueType/>
    <w:pitch w:val="default"/>
    <w:sig w:usb0="00000003" w:usb1="00000000" w:usb2="00000000" w:usb3="00000000" w:csb0="00000001" w:csb1="00000000"/>
  </w:font>
  <w:font w:name="MTSYN">
    <w:panose1 w:val="00000000000000000000"/>
    <w:charset w:val="00"/>
    <w:family w:val="auto"/>
    <w:notTrueType/>
    <w:pitch w:val="default"/>
    <w:sig w:usb0="00000003" w:usb1="00000000" w:usb2="00000000" w:usb3="00000000" w:csb0="00000001" w:csb1="00000000"/>
  </w:font>
  <w:font w:name="FormataOTF-Reg">
    <w:panose1 w:val="00000000000000000000"/>
    <w:charset w:val="00"/>
    <w:family w:val="auto"/>
    <w:notTrueType/>
    <w:pitch w:val="default"/>
    <w:sig w:usb0="00000003" w:usb1="00000000" w:usb2="00000000" w:usb3="00000000" w:csb0="00000001" w:csb1="00000000"/>
  </w:font>
  <w:font w:name="FormataOTFMd">
    <w:panose1 w:val="00000000000000000000"/>
    <w:charset w:val="00"/>
    <w:family w:val="auto"/>
    <w:notTrueType/>
    <w:pitch w:val="default"/>
    <w:sig w:usb0="00000003" w:usb1="00000000" w:usb2="00000000" w:usb3="00000000" w:csb0="00000001" w:csb1="00000000"/>
  </w:font>
  <w:font w:name="FormataOTF-Italic">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FormataOTFMdIt">
    <w:altName w:val="MV Boli"/>
    <w:panose1 w:val="00000000000000000000"/>
    <w:charset w:val="00"/>
    <w:family w:val="auto"/>
    <w:notTrueType/>
    <w:pitch w:val="default"/>
    <w:sig w:usb0="00000003" w:usb1="00000000" w:usb2="00000000" w:usb3="00000000" w:csb0="00000001" w:csb1="00000000"/>
  </w:font>
  <w:font w:name="Formata-Regular">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Formata OTF">
    <w:altName w:val="Calibri"/>
    <w:panose1 w:val="00000000000000000000"/>
    <w:charset w:val="00"/>
    <w:family w:val="modern"/>
    <w:notTrueType/>
    <w:pitch w:val="variable"/>
    <w:sig w:usb0="8000002F" w:usb1="40000048" w:usb2="00000000" w:usb3="00000000" w:csb0="00000001" w:csb1="00000000"/>
  </w:font>
  <w:font w:name="TimesNewRomanPS-ItalicMT">
    <w:altName w:val="Times New Roman"/>
    <w:panose1 w:val="00000000000000000000"/>
    <w:charset w:val="00"/>
    <w:family w:val="roman"/>
    <w:notTrueType/>
    <w:pitch w:val="default"/>
    <w:sig w:usb0="00000003" w:usb1="00000000" w:usb2="00000000" w:usb3="00000000" w:csb0="00000001" w:csb1="00000000"/>
  </w:font>
  <w:font w:name="NimbusRomNo9L-ReguItal">
    <w:altName w:val="MS Gothic"/>
    <w:panose1 w:val="00000000000000000000"/>
    <w:charset w:val="80"/>
    <w:family w:val="auto"/>
    <w:notTrueType/>
    <w:pitch w:val="default"/>
    <w:sig w:usb0="00000001" w:usb1="08070000" w:usb2="00000010" w:usb3="00000000" w:csb0="00020000" w:csb1="00000000"/>
  </w:font>
  <w:font w:name="CMMI10">
    <w:altName w:val="Arial Unicode MS"/>
    <w:panose1 w:val="00000000000000000000"/>
    <w:charset w:val="81"/>
    <w:family w:val="auto"/>
    <w:notTrueType/>
    <w:pitch w:val="default"/>
    <w:sig w:usb0="00000001" w:usb1="09060000" w:usb2="00000010" w:usb3="00000000" w:csb0="00080000" w:csb1="00000000"/>
  </w:font>
  <w:font w:name="CMR10">
    <w:altName w:val="MS Gothic"/>
    <w:panose1 w:val="00000000000000000000"/>
    <w:charset w:val="80"/>
    <w:family w:val="auto"/>
    <w:notTrueType/>
    <w:pitch w:val="default"/>
    <w:sig w:usb0="00000001" w:usb1="08070000" w:usb2="00000010" w:usb3="00000000" w:csb0="00020000" w:csb1="00000000"/>
  </w:font>
  <w:font w:name="CMSY7">
    <w:altName w:val="MS Gothic"/>
    <w:panose1 w:val="00000000000000000000"/>
    <w:charset w:val="80"/>
    <w:family w:val="auto"/>
    <w:notTrueType/>
    <w:pitch w:val="default"/>
    <w:sig w:usb0="00000001" w:usb1="08070000" w:usb2="00000010" w:usb3="00000000" w:csb0="00020000" w:csb1="00000000"/>
  </w:font>
  <w:font w:name="Times-Italic">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B976A" w14:textId="77777777" w:rsidR="009C79C4" w:rsidRPr="00B979BB" w:rsidRDefault="009C79C4" w:rsidP="00422716">
    <w:pPr>
      <w:pStyle w:val="Footer"/>
      <w:tabs>
        <w:tab w:val="clear" w:pos="4320"/>
        <w:tab w:val="clear" w:pos="8640"/>
        <w:tab w:val="right" w:pos="10044"/>
      </w:tabs>
      <w:rPr>
        <w:rFonts w:ascii="Helvetica" w:hAnsi="Helvetica"/>
        <w:sz w:val="12"/>
        <w:szCs w:val="12"/>
      </w:rPr>
    </w:pPr>
    <w:r w:rsidRPr="00B979BB">
      <w:rPr>
        <w:rFonts w:ascii="Helvetica" w:hAnsi="Helvetica" w:cs="FormataOTF-Reg"/>
        <w:sz w:val="12"/>
        <w:szCs w:val="12"/>
      </w:rPr>
      <w:t>VOLUME XX, 2017</w:t>
    </w:r>
    <w:r w:rsidRPr="00B979BB">
      <w:rPr>
        <w:rFonts w:ascii="Helvetica" w:hAnsi="Helvetica" w:cs="FormataOTF-Reg"/>
        <w:sz w:val="12"/>
        <w:szCs w:val="12"/>
      </w:rPr>
      <w:tab/>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DA35C" w14:textId="77777777" w:rsidR="009C79C4" w:rsidRPr="00B979BB" w:rsidRDefault="009C79C4" w:rsidP="00E721A9">
    <w:pPr>
      <w:pStyle w:val="Footer"/>
      <w:tabs>
        <w:tab w:val="clear" w:pos="4320"/>
        <w:tab w:val="clear" w:pos="8640"/>
        <w:tab w:val="center" w:pos="9540"/>
      </w:tabs>
      <w:rPr>
        <w:rFonts w:ascii="Helvetica" w:hAnsi="Helvetica"/>
        <w:sz w:val="12"/>
      </w:rPr>
    </w:pPr>
    <w:r w:rsidRPr="00B979BB">
      <w:rPr>
        <w:rFonts w:ascii="Helvetica" w:hAnsi="Helvetica" w:cs="FormataOTF-Reg"/>
        <w:sz w:val="12"/>
        <w:szCs w:val="14"/>
      </w:rPr>
      <w:t>2</w:t>
    </w:r>
    <w:r w:rsidRPr="00B979BB">
      <w:rPr>
        <w:rFonts w:ascii="Helvetica" w:hAnsi="Helvetica" w:cs="FormataOTF-Reg"/>
        <w:sz w:val="12"/>
        <w:szCs w:val="14"/>
      </w:rPr>
      <w:tab/>
    </w:r>
    <w:r w:rsidRPr="00B979BB">
      <w:rPr>
        <w:rFonts w:ascii="Helvetica" w:hAnsi="Helvetica" w:cs="FormataOTF-Reg"/>
        <w:sz w:val="12"/>
        <w:szCs w:val="12"/>
      </w:rPr>
      <w:t>VOLUME XX, 2017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2D52E" w14:textId="77777777" w:rsidR="009C79C4" w:rsidRPr="00B979BB" w:rsidRDefault="009C79C4" w:rsidP="00CD6C55">
    <w:pPr>
      <w:pStyle w:val="Footer"/>
      <w:tabs>
        <w:tab w:val="clear" w:pos="4320"/>
        <w:tab w:val="clear" w:pos="8640"/>
        <w:tab w:val="center" w:pos="9996"/>
      </w:tabs>
      <w:rPr>
        <w:rFonts w:ascii="Helvetica" w:hAnsi="Helvetica"/>
        <w:sz w:val="12"/>
      </w:rPr>
    </w:pPr>
    <w:r w:rsidRPr="00B979BB">
      <w:rPr>
        <w:rFonts w:ascii="Helvetica" w:hAnsi="Helvetica" w:cs="FormataOTF-Reg"/>
        <w:sz w:val="12"/>
        <w:szCs w:val="12"/>
      </w:rPr>
      <w:t>VOLUME XX, 2017</w:t>
    </w:r>
    <w:r w:rsidRPr="00B979BB">
      <w:rPr>
        <w:rFonts w:ascii="Helvetica" w:hAnsi="Helvetica" w:cs="FormataOTF-Reg"/>
        <w:sz w:val="12"/>
        <w:szCs w:val="14"/>
      </w:rPr>
      <w:tab/>
    </w:r>
    <w:r>
      <w:rPr>
        <w:rFonts w:ascii="Helvetica" w:hAnsi="Helvetica" w:cs="FormataOTF-Reg"/>
        <w:sz w:val="12"/>
        <w:szCs w:val="14"/>
      </w:rPr>
      <w:t>3</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F3105" w14:textId="77777777" w:rsidR="009C79C4" w:rsidRPr="00B979BB" w:rsidRDefault="009C79C4" w:rsidP="00E721A9">
    <w:pPr>
      <w:pStyle w:val="Footer"/>
      <w:tabs>
        <w:tab w:val="clear" w:pos="4320"/>
        <w:tab w:val="clear" w:pos="8640"/>
        <w:tab w:val="center" w:pos="9540"/>
      </w:tabs>
      <w:rPr>
        <w:rFonts w:ascii="Helvetica" w:hAnsi="Helvetica"/>
        <w:sz w:val="12"/>
      </w:rPr>
    </w:pPr>
    <w:r>
      <w:rPr>
        <w:rFonts w:ascii="Helvetica" w:hAnsi="Helvetica" w:cs="FormataOTF-Reg"/>
        <w:sz w:val="12"/>
        <w:szCs w:val="14"/>
      </w:rPr>
      <w:t>4</w:t>
    </w:r>
    <w:r w:rsidRPr="00B979BB">
      <w:rPr>
        <w:rFonts w:ascii="Helvetica" w:hAnsi="Helvetica" w:cs="FormataOTF-Reg"/>
        <w:sz w:val="12"/>
        <w:szCs w:val="14"/>
      </w:rPr>
      <w:tab/>
    </w:r>
    <w:r w:rsidRPr="00B979BB">
      <w:rPr>
        <w:rFonts w:ascii="Helvetica" w:hAnsi="Helvetica" w:cs="FormataOTF-Reg"/>
        <w:sz w:val="12"/>
        <w:szCs w:val="12"/>
      </w:rPr>
      <w:t>VOLUME XX, 2017</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13273" w14:textId="32EC74B2" w:rsidR="007A706D" w:rsidRPr="00B979BB" w:rsidRDefault="007A706D" w:rsidP="007A706D">
    <w:pPr>
      <w:pStyle w:val="Footer"/>
      <w:tabs>
        <w:tab w:val="clear" w:pos="4320"/>
        <w:tab w:val="clear" w:pos="8640"/>
        <w:tab w:val="center" w:pos="9996"/>
      </w:tabs>
      <w:rPr>
        <w:rFonts w:ascii="Helvetica" w:hAnsi="Helvetica"/>
        <w:sz w:val="12"/>
      </w:rPr>
    </w:pPr>
    <w:r w:rsidRPr="00B979BB">
      <w:rPr>
        <w:rFonts w:ascii="Helvetica" w:hAnsi="Helvetica" w:cs="FormataOTF-Reg"/>
        <w:sz w:val="12"/>
        <w:szCs w:val="12"/>
      </w:rPr>
      <w:t>VOLUME XX, 2017</w:t>
    </w:r>
    <w:r w:rsidRPr="00B979BB">
      <w:rPr>
        <w:rFonts w:ascii="Helvetica" w:hAnsi="Helvetica" w:cs="FormataOTF-Reg"/>
        <w:sz w:val="12"/>
        <w:szCs w:val="14"/>
      </w:rPr>
      <w:tab/>
    </w:r>
    <w:r>
      <w:rPr>
        <w:rFonts w:ascii="Helvetica" w:hAnsi="Helvetica" w:cs="FormataOTF-Reg"/>
        <w:sz w:val="12"/>
        <w:szCs w:val="14"/>
      </w:rPr>
      <w:t>5</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B9B43" w14:textId="4C883922" w:rsidR="005C7DF8" w:rsidRPr="00B979BB" w:rsidRDefault="005C7DF8" w:rsidP="005C7DF8">
    <w:pPr>
      <w:pStyle w:val="Footer"/>
      <w:tabs>
        <w:tab w:val="clear" w:pos="4320"/>
        <w:tab w:val="clear" w:pos="8640"/>
        <w:tab w:val="center" w:pos="9540"/>
      </w:tabs>
      <w:rPr>
        <w:rFonts w:ascii="Helvetica" w:hAnsi="Helvetica"/>
        <w:sz w:val="12"/>
      </w:rPr>
    </w:pPr>
    <w:r>
      <w:rPr>
        <w:rFonts w:ascii="Helvetica" w:hAnsi="Helvetica" w:cs="FormataOTF-Reg"/>
        <w:sz w:val="12"/>
        <w:szCs w:val="14"/>
      </w:rPr>
      <w:t>6</w:t>
    </w:r>
    <w:r w:rsidRPr="00B979BB">
      <w:rPr>
        <w:rFonts w:ascii="Helvetica" w:hAnsi="Helvetica" w:cs="FormataOTF-Reg"/>
        <w:sz w:val="12"/>
        <w:szCs w:val="14"/>
      </w:rPr>
      <w:tab/>
    </w:r>
    <w:r w:rsidRPr="00B979BB">
      <w:rPr>
        <w:rFonts w:ascii="Helvetica" w:hAnsi="Helvetica" w:cs="FormataOTF-Reg"/>
        <w:sz w:val="12"/>
        <w:szCs w:val="12"/>
      </w:rPr>
      <w:t>VOLUME XX, 2017</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08833" w14:textId="5184F99D" w:rsidR="005C7DF8" w:rsidRPr="00B979BB" w:rsidRDefault="005C7DF8" w:rsidP="007A706D">
    <w:pPr>
      <w:pStyle w:val="Footer"/>
      <w:tabs>
        <w:tab w:val="clear" w:pos="4320"/>
        <w:tab w:val="clear" w:pos="8640"/>
        <w:tab w:val="center" w:pos="9996"/>
      </w:tabs>
      <w:rPr>
        <w:rFonts w:ascii="Helvetica" w:hAnsi="Helvetica"/>
        <w:sz w:val="12"/>
      </w:rPr>
    </w:pPr>
    <w:r w:rsidRPr="00B979BB">
      <w:rPr>
        <w:rFonts w:ascii="Helvetica" w:hAnsi="Helvetica" w:cs="FormataOTF-Reg"/>
        <w:sz w:val="12"/>
        <w:szCs w:val="12"/>
      </w:rPr>
      <w:t>VOLUME XX, 2017</w:t>
    </w:r>
    <w:r w:rsidRPr="00B979BB">
      <w:rPr>
        <w:rFonts w:ascii="Helvetica" w:hAnsi="Helvetica" w:cs="FormataOTF-Reg"/>
        <w:sz w:val="12"/>
        <w:szCs w:val="14"/>
      </w:rPr>
      <w:tab/>
    </w:r>
    <w:r>
      <w:rPr>
        <w:rFonts w:ascii="Helvetica" w:hAnsi="Helvetica" w:cs="FormataOTF-Reg"/>
        <w:sz w:val="12"/>
        <w:szCs w:val="14"/>
      </w:rPr>
      <w:t>7</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B6DD2" w14:textId="30D85FD1" w:rsidR="005C7DF8" w:rsidRPr="00B979BB" w:rsidRDefault="005C7DF8" w:rsidP="005C7DF8">
    <w:pPr>
      <w:pStyle w:val="Footer"/>
      <w:tabs>
        <w:tab w:val="clear" w:pos="4320"/>
        <w:tab w:val="clear" w:pos="8640"/>
        <w:tab w:val="center" w:pos="9540"/>
      </w:tabs>
      <w:rPr>
        <w:rFonts w:ascii="Helvetica" w:hAnsi="Helvetica"/>
        <w:sz w:val="12"/>
      </w:rPr>
    </w:pPr>
    <w:r>
      <w:rPr>
        <w:rFonts w:ascii="Helvetica" w:hAnsi="Helvetica" w:cs="FormataOTF-Reg"/>
        <w:sz w:val="12"/>
        <w:szCs w:val="14"/>
      </w:rPr>
      <w:t>8</w:t>
    </w:r>
    <w:r w:rsidRPr="00B979BB">
      <w:rPr>
        <w:rFonts w:ascii="Helvetica" w:hAnsi="Helvetica" w:cs="FormataOTF-Reg"/>
        <w:sz w:val="12"/>
        <w:szCs w:val="14"/>
      </w:rPr>
      <w:tab/>
    </w:r>
    <w:r w:rsidRPr="00B979BB">
      <w:rPr>
        <w:rFonts w:ascii="Helvetica" w:hAnsi="Helvetica" w:cs="FormataOTF-Reg"/>
        <w:sz w:val="12"/>
        <w:szCs w:val="12"/>
      </w:rPr>
      <w:t>VOLUME XX, 2017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F8603C" w14:textId="77777777" w:rsidR="00CB2DB1" w:rsidRDefault="00CB2DB1">
      <w:r>
        <w:separator/>
      </w:r>
    </w:p>
  </w:footnote>
  <w:footnote w:type="continuationSeparator" w:id="0">
    <w:p w14:paraId="1E081D45" w14:textId="77777777" w:rsidR="00CB2DB1" w:rsidRDefault="00CB2DB1">
      <w:r>
        <w:continuationSeparator/>
      </w:r>
    </w:p>
  </w:footnote>
  <w:footnote w:id="1">
    <w:p w14:paraId="3296347A" w14:textId="77777777" w:rsidR="009C79C4" w:rsidRDefault="009C79C4" w:rsidP="001C597C">
      <w:pPr>
        <w:pStyle w:val="FootnoteText"/>
      </w:pPr>
      <w:r>
        <w:rPr>
          <w:rStyle w:val="FootnoteReference"/>
        </w:rPr>
        <w:footnoteRef/>
      </w:r>
      <w:r>
        <w:t>It is recommended that footnotes be avoided (except for the unnumbered footnote with the receipt date on the first page). Instead, try to integrate the footnote information into the text.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5B0C1" w14:textId="77777777" w:rsidR="009C79C4" w:rsidRPr="00E721A9" w:rsidRDefault="009C79C4" w:rsidP="00E721A9">
    <w:pPr>
      <w:pStyle w:val="Header"/>
      <w:pBdr>
        <w:bottom w:val="single" w:sz="4" w:space="3" w:color="auto"/>
      </w:pBdr>
      <w:tabs>
        <w:tab w:val="clear" w:pos="4320"/>
        <w:tab w:val="left" w:pos="5532"/>
      </w:tabs>
      <w:jc w:val="right"/>
      <w:rPr>
        <w:rFonts w:ascii="Formata OTF" w:hAnsi="Formata OTF"/>
        <w:sz w:val="14"/>
        <w:szCs w:val="14"/>
      </w:rPr>
    </w:pPr>
    <w:r>
      <w:rPr>
        <w:rFonts w:ascii="Formata OTF" w:hAnsi="Formata OTF"/>
        <w:noProof/>
        <w:sz w:val="14"/>
        <w:szCs w:val="14"/>
      </w:rPr>
      <w:drawing>
        <wp:inline distT="0" distB="0" distL="0" distR="0" wp14:anchorId="396B900A" wp14:editId="6E819850">
          <wp:extent cx="1169670" cy="297815"/>
          <wp:effectExtent l="0" t="0" r="0" b="6985"/>
          <wp:docPr id="3" name="Picture 3" descr="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Logo"/>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9670" cy="29781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23C04" w14:textId="77777777" w:rsidR="009C79C4" w:rsidRPr="00CB191E" w:rsidRDefault="009C79C4" w:rsidP="00B979BB">
    <w:pPr>
      <w:pStyle w:val="Header"/>
      <w:pBdr>
        <w:bottom w:val="single" w:sz="4" w:space="3" w:color="auto"/>
      </w:pBdr>
      <w:tabs>
        <w:tab w:val="clear" w:pos="4320"/>
        <w:tab w:val="left" w:pos="5472"/>
      </w:tabs>
      <w:rPr>
        <w:rFonts w:ascii="Helvetica" w:hAnsi="Helvetica" w:cs="FormataOTF-Reg"/>
        <w:sz w:val="14"/>
        <w:szCs w:val="14"/>
      </w:rPr>
    </w:pPr>
    <w:r>
      <w:rPr>
        <w:rFonts w:ascii="Formata OTF" w:hAnsi="Formata OTF" w:cs="FormataOTF-Reg"/>
        <w:noProof/>
        <w:sz w:val="14"/>
        <w:szCs w:val="14"/>
      </w:rPr>
      <w:drawing>
        <wp:inline distT="0" distB="0" distL="0" distR="0" wp14:anchorId="7CBD163E" wp14:editId="7D0B38FD">
          <wp:extent cx="977900" cy="170180"/>
          <wp:effectExtent l="0" t="0" r="0" b="1270"/>
          <wp:docPr id="4" name="Picture 4" descr="notaglineLogo-eps-converted-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taglineLogo-eps-converted-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7900" cy="170180"/>
                  </a:xfrm>
                  <a:prstGeom prst="rect">
                    <a:avLst/>
                  </a:prstGeom>
                  <a:noFill/>
                  <a:ln>
                    <a:noFill/>
                  </a:ln>
                </pic:spPr>
              </pic:pic>
            </a:graphicData>
          </a:graphic>
        </wp:inline>
      </w:drawing>
    </w:r>
    <w:r>
      <w:rPr>
        <w:rFonts w:ascii="Formata OTF" w:hAnsi="Formata OTF" w:cs="FormataOTF-Reg"/>
        <w:sz w:val="14"/>
        <w:szCs w:val="14"/>
      </w:rPr>
      <w:tab/>
    </w:r>
    <w:r>
      <w:rPr>
        <w:rFonts w:ascii="Helvetica" w:hAnsi="Helvetica" w:cs="FormataOTF-Reg"/>
        <w:sz w:val="14"/>
        <w:szCs w:val="14"/>
      </w:rPr>
      <w:t>Author Name</w:t>
    </w:r>
    <w:r w:rsidRPr="00B979BB">
      <w:rPr>
        <w:rFonts w:ascii="Helvetica" w:hAnsi="Helvetica" w:cs="FormataOTF-Reg"/>
        <w:sz w:val="14"/>
        <w:szCs w:val="14"/>
      </w:rPr>
      <w:t xml:space="preserve">: </w:t>
    </w:r>
    <w:r w:rsidRPr="00CB191E">
      <w:rPr>
        <w:rFonts w:ascii="Helvetica" w:hAnsi="Helvetica" w:cs="FormataOTF-Reg"/>
        <w:sz w:val="14"/>
        <w:szCs w:val="14"/>
      </w:rPr>
      <w:t>Preparation of Papers for IEEE Access (February 2017)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62F820A2"/>
    <w:lvl w:ilvl="0">
      <w:start w:val="1"/>
      <w:numFmt w:val="upperRoman"/>
      <w:pStyle w:val="Heading1"/>
      <w:lvlText w:val="%1."/>
      <w:legacy w:legacy="1" w:legacySpace="144" w:legacyIndent="144"/>
      <w:lvlJc w:val="left"/>
    </w:lvl>
    <w:lvl w:ilvl="1">
      <w:start w:val="1"/>
      <w:numFmt w:val="upperLetter"/>
      <w:pStyle w:val="Heading2"/>
      <w:lvlText w:val="%2."/>
      <w:legacy w:legacy="1" w:legacySpace="144" w:legacyIndent="144"/>
      <w:lvlJc w:val="left"/>
      <w:rPr>
        <w:b w:val="0"/>
      </w:rPr>
    </w:lvl>
    <w:lvl w:ilvl="2">
      <w:start w:val="1"/>
      <w:numFmt w:val="decimal"/>
      <w:pStyle w:val="Heading3"/>
      <w:lvlText w:val="%3)"/>
      <w:legacy w:legacy="1" w:legacySpace="144" w:legacyIndent="144"/>
      <w:lvlJc w:val="left"/>
      <w:rPr>
        <w:i/>
      </w:rPr>
    </w:lvl>
    <w:lvl w:ilvl="3">
      <w:start w:val="1"/>
      <w:numFmt w:val="lowerLetter"/>
      <w:pStyle w:val="Heading4"/>
      <w:lvlText w:val="%4)"/>
      <w:legacy w:legacy="1" w:legacySpace="0" w:legacyIndent="720"/>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 w15:restartNumberingAfterBreak="0">
    <w:nsid w:val="00334CBB"/>
    <w:multiLevelType w:val="multilevel"/>
    <w:tmpl w:val="7C88D4CC"/>
    <w:lvl w:ilvl="0">
      <w:start w:val="2"/>
      <w:numFmt w:val="upperLetter"/>
      <w:pStyle w:val="H2Cont"/>
      <w:suff w:val="space"/>
      <w:lvlText w:val="%1."/>
      <w:lvlJc w:val="left"/>
      <w:pPr>
        <w:ind w:left="0" w:firstLine="0"/>
      </w:pPr>
      <w:rPr>
        <w:rFonts w:hint="default"/>
        <w:color w:val="58595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0532B4F"/>
    <w:multiLevelType w:val="multilevel"/>
    <w:tmpl w:val="1A824A18"/>
    <w:lvl w:ilvl="0">
      <w:start w:val="4"/>
      <w:numFmt w:val="upperLetter"/>
      <w:suff w:val="space"/>
      <w:lvlText w:val="%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6453F57"/>
    <w:multiLevelType w:val="multilevel"/>
    <w:tmpl w:val="CD96871E"/>
    <w:numStyleLink w:val="H2Restart"/>
  </w:abstractNum>
  <w:abstractNum w:abstractNumId="4" w15:restartNumberingAfterBreak="0">
    <w:nsid w:val="07C07FDF"/>
    <w:multiLevelType w:val="multilevel"/>
    <w:tmpl w:val="CD96871E"/>
    <w:styleLink w:val="H2Restart"/>
    <w:lvl w:ilvl="0">
      <w:start w:val="1"/>
      <w:numFmt w:val="upperLetter"/>
      <w:suff w:val="space"/>
      <w:lvlText w:val="%1."/>
      <w:lvlJc w:val="left"/>
      <w:pPr>
        <w:ind w:left="18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96E735E"/>
    <w:multiLevelType w:val="multilevel"/>
    <w:tmpl w:val="CD96871E"/>
    <w:numStyleLink w:val="H2Restart"/>
  </w:abstractNum>
  <w:abstractNum w:abstractNumId="6" w15:restartNumberingAfterBreak="0">
    <w:nsid w:val="0DEA0F58"/>
    <w:multiLevelType w:val="multilevel"/>
    <w:tmpl w:val="A3CEC990"/>
    <w:styleLink w:val="H2afterH1New"/>
    <w:lvl w:ilvl="0">
      <w:start w:val="1"/>
      <w:numFmt w:val="upperLetter"/>
      <w:suff w:val="space"/>
      <w:lvlText w:val="%1."/>
      <w:lvlJc w:val="left"/>
      <w:pPr>
        <w:ind w:left="0" w:firstLine="0"/>
      </w:pPr>
      <w:rPr>
        <w:rFonts w:hint="default"/>
        <w:color w:val="58595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14232A68"/>
    <w:multiLevelType w:val="multilevel"/>
    <w:tmpl w:val="A3CEC990"/>
    <w:numStyleLink w:val="H2afterH1New"/>
  </w:abstractNum>
  <w:abstractNum w:abstractNumId="8" w15:restartNumberingAfterBreak="0">
    <w:nsid w:val="197F4013"/>
    <w:multiLevelType w:val="multilevel"/>
    <w:tmpl w:val="CD96871E"/>
    <w:numStyleLink w:val="H2Restart"/>
  </w:abstractNum>
  <w:abstractNum w:abstractNumId="9" w15:restartNumberingAfterBreak="0">
    <w:nsid w:val="1AD9271D"/>
    <w:multiLevelType w:val="multilevel"/>
    <w:tmpl w:val="1A824A18"/>
    <w:lvl w:ilvl="0">
      <w:start w:val="4"/>
      <w:numFmt w:val="upperLetter"/>
      <w:suff w:val="space"/>
      <w:lvlText w:val="%1."/>
      <w:lvlJc w:val="left"/>
      <w:pPr>
        <w:ind w:left="0" w:firstLine="0"/>
      </w:pPr>
      <w:rPr>
        <w:rFonts w:hint="default"/>
        <w:color w:val="58595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21F74BC5"/>
    <w:multiLevelType w:val="multilevel"/>
    <w:tmpl w:val="CD96871E"/>
    <w:numStyleLink w:val="H2Restart"/>
  </w:abstractNum>
  <w:abstractNum w:abstractNumId="11" w15:restartNumberingAfterBreak="0">
    <w:nsid w:val="2517274C"/>
    <w:multiLevelType w:val="singleLevel"/>
    <w:tmpl w:val="04090011"/>
    <w:lvl w:ilvl="0">
      <w:start w:val="1"/>
      <w:numFmt w:val="decimal"/>
      <w:lvlText w:val="%1)"/>
      <w:lvlJc w:val="left"/>
      <w:pPr>
        <w:tabs>
          <w:tab w:val="num" w:pos="360"/>
        </w:tabs>
        <w:ind w:left="360" w:hanging="360"/>
      </w:pPr>
    </w:lvl>
  </w:abstractNum>
  <w:abstractNum w:abstractNumId="12" w15:restartNumberingAfterBreak="0">
    <w:nsid w:val="256849EF"/>
    <w:multiLevelType w:val="multilevel"/>
    <w:tmpl w:val="86D4EC90"/>
    <w:lvl w:ilvl="0">
      <w:start w:val="5"/>
      <w:numFmt w:val="upperLetter"/>
      <w:pStyle w:val="H2ConSpaceBefore12pt"/>
      <w:suff w:val="space"/>
      <w:lvlText w:val="%1."/>
      <w:lvlJc w:val="left"/>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2A0841DE"/>
    <w:multiLevelType w:val="multilevel"/>
    <w:tmpl w:val="A3CEC990"/>
    <w:numStyleLink w:val="H2afterH1New"/>
  </w:abstractNum>
  <w:abstractNum w:abstractNumId="14" w15:restartNumberingAfterBreak="0">
    <w:nsid w:val="2E5117DB"/>
    <w:multiLevelType w:val="multilevel"/>
    <w:tmpl w:val="CD96871E"/>
    <w:numStyleLink w:val="H2Restart"/>
  </w:abstractNum>
  <w:abstractNum w:abstractNumId="15" w15:restartNumberingAfterBreak="0">
    <w:nsid w:val="2F754583"/>
    <w:multiLevelType w:val="hybridMultilevel"/>
    <w:tmpl w:val="FA38E1D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2B34D1D"/>
    <w:multiLevelType w:val="multilevel"/>
    <w:tmpl w:val="CD96871E"/>
    <w:numStyleLink w:val="H2Restart"/>
  </w:abstractNum>
  <w:abstractNum w:abstractNumId="17" w15:restartNumberingAfterBreak="0">
    <w:nsid w:val="33E4726D"/>
    <w:multiLevelType w:val="multilevel"/>
    <w:tmpl w:val="90B4B226"/>
    <w:lvl w:ilvl="0">
      <w:start w:val="1"/>
      <w:numFmt w:val="upperRoman"/>
      <w:pStyle w:val="H1ListNoSpace"/>
      <w:suff w:val="space"/>
      <w:lvlText w:val="%1."/>
      <w:lvlJc w:val="left"/>
      <w:pPr>
        <w:ind w:left="36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34BF4C83"/>
    <w:multiLevelType w:val="multilevel"/>
    <w:tmpl w:val="CD96871E"/>
    <w:numStyleLink w:val="H2Restart"/>
  </w:abstractNum>
  <w:abstractNum w:abstractNumId="19" w15:restartNumberingAfterBreak="0">
    <w:nsid w:val="357A45C8"/>
    <w:multiLevelType w:val="multilevel"/>
    <w:tmpl w:val="CD96871E"/>
    <w:numStyleLink w:val="H2Restart"/>
  </w:abstractNum>
  <w:abstractNum w:abstractNumId="20" w15:restartNumberingAfterBreak="0">
    <w:nsid w:val="37A62AE8"/>
    <w:multiLevelType w:val="hybridMultilevel"/>
    <w:tmpl w:val="31D04022"/>
    <w:lvl w:ilvl="0" w:tplc="04090015">
      <w:start w:val="1"/>
      <w:numFmt w:val="upperLetter"/>
      <w:pStyle w:val="H2AfterH1"/>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A877D64"/>
    <w:multiLevelType w:val="singleLevel"/>
    <w:tmpl w:val="37E4B88C"/>
    <w:lvl w:ilvl="0">
      <w:start w:val="1"/>
      <w:numFmt w:val="decimal"/>
      <w:pStyle w:val="References"/>
      <w:lvlText w:val="[%1]"/>
      <w:lvlJc w:val="left"/>
      <w:pPr>
        <w:tabs>
          <w:tab w:val="num" w:pos="1170"/>
        </w:tabs>
        <w:ind w:left="1170" w:hanging="360"/>
      </w:pPr>
      <w:rPr>
        <w:i w:val="0"/>
      </w:rPr>
    </w:lvl>
  </w:abstractNum>
  <w:abstractNum w:abstractNumId="22" w15:restartNumberingAfterBreak="0">
    <w:nsid w:val="3B142FBD"/>
    <w:multiLevelType w:val="multilevel"/>
    <w:tmpl w:val="C2281CF6"/>
    <w:lvl w:ilvl="0">
      <w:start w:val="1"/>
      <w:numFmt w:val="upperLetter"/>
      <w:suff w:val="space"/>
      <w:lvlText w:val="%1."/>
      <w:lvlJc w:val="left"/>
      <w:pPr>
        <w:ind w:left="0" w:firstLine="0"/>
      </w:pPr>
      <w:rPr>
        <w:rFonts w:hint="default"/>
        <w:color w:val="58595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3B240BA4"/>
    <w:multiLevelType w:val="multilevel"/>
    <w:tmpl w:val="ACAAA3AA"/>
    <w:lvl w:ilvl="0">
      <w:start w:val="1"/>
      <w:numFmt w:val="decimal"/>
      <w:pStyle w:val="H3"/>
      <w:lvlText w:val="%1)"/>
      <w:lvlJc w:val="left"/>
      <w:pPr>
        <w:tabs>
          <w:tab w:val="num" w:pos="320"/>
        </w:tabs>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3D90722D"/>
    <w:multiLevelType w:val="multilevel"/>
    <w:tmpl w:val="CD96871E"/>
    <w:numStyleLink w:val="H2Restart"/>
  </w:abstractNum>
  <w:abstractNum w:abstractNumId="25" w15:restartNumberingAfterBreak="0">
    <w:nsid w:val="442B60CD"/>
    <w:multiLevelType w:val="multilevel"/>
    <w:tmpl w:val="CD96871E"/>
    <w:numStyleLink w:val="H2Restart"/>
  </w:abstractNum>
  <w:abstractNum w:abstractNumId="26" w15:restartNumberingAfterBreak="0">
    <w:nsid w:val="4A1139B8"/>
    <w:multiLevelType w:val="multilevel"/>
    <w:tmpl w:val="BFB29B88"/>
    <w:lvl w:ilvl="0">
      <w:start w:val="2"/>
      <w:numFmt w:val="upperLetter"/>
      <w:suff w:val="space"/>
      <w:lvlText w:val="%1."/>
      <w:lvlJc w:val="left"/>
      <w:pPr>
        <w:ind w:left="0" w:firstLine="0"/>
      </w:pPr>
      <w:rPr>
        <w:rFonts w:hint="default"/>
        <w:color w:val="58595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4A8B0ABB"/>
    <w:multiLevelType w:val="multilevel"/>
    <w:tmpl w:val="CD96871E"/>
    <w:numStyleLink w:val="H2Restart"/>
  </w:abstractNum>
  <w:abstractNum w:abstractNumId="28" w15:restartNumberingAfterBreak="0">
    <w:nsid w:val="4AD925CE"/>
    <w:multiLevelType w:val="multilevel"/>
    <w:tmpl w:val="3D72A97E"/>
    <w:lvl w:ilvl="0">
      <w:start w:val="4"/>
      <w:numFmt w:val="upperLetter"/>
      <w:pStyle w:val="H2ConNoSpace"/>
      <w:suff w:val="space"/>
      <w:lvlText w:val="%1."/>
      <w:lvlJc w:val="left"/>
      <w:pPr>
        <w:ind w:left="0" w:firstLine="0"/>
      </w:pPr>
      <w:rPr>
        <w:rFonts w:hint="default"/>
        <w:color w:val="58595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4D6E47F2"/>
    <w:multiLevelType w:val="multilevel"/>
    <w:tmpl w:val="CD96871E"/>
    <w:numStyleLink w:val="H2Restart"/>
  </w:abstractNum>
  <w:abstractNum w:abstractNumId="30" w15:restartNumberingAfterBreak="0">
    <w:nsid w:val="50410D7D"/>
    <w:multiLevelType w:val="multilevel"/>
    <w:tmpl w:val="CD96871E"/>
    <w:numStyleLink w:val="H2Restart"/>
  </w:abstractNum>
  <w:abstractNum w:abstractNumId="31" w15:restartNumberingAfterBreak="0">
    <w:nsid w:val="55D64C9C"/>
    <w:multiLevelType w:val="hybridMultilevel"/>
    <w:tmpl w:val="A45CD83A"/>
    <w:lvl w:ilvl="0" w:tplc="B6E8773A">
      <w:start w:val="1"/>
      <w:numFmt w:val="bullet"/>
      <w:pStyle w:val="REFBUL"/>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8021B99"/>
    <w:multiLevelType w:val="multilevel"/>
    <w:tmpl w:val="CD96871E"/>
    <w:numStyleLink w:val="H2Restart"/>
  </w:abstractNum>
  <w:abstractNum w:abstractNumId="33" w15:restartNumberingAfterBreak="0">
    <w:nsid w:val="5E744E82"/>
    <w:multiLevelType w:val="multilevel"/>
    <w:tmpl w:val="CD96871E"/>
    <w:numStyleLink w:val="H2Restart"/>
  </w:abstractNum>
  <w:abstractNum w:abstractNumId="34" w15:restartNumberingAfterBreak="0">
    <w:nsid w:val="61C20FDB"/>
    <w:multiLevelType w:val="multilevel"/>
    <w:tmpl w:val="AE8490E4"/>
    <w:lvl w:ilvl="0">
      <w:start w:val="1"/>
      <w:numFmt w:val="decimal"/>
      <w:pStyle w:val="FigCaption"/>
      <w:lvlText w:val="FIGURE %1."/>
      <w:lvlJc w:val="left"/>
      <w:pPr>
        <w:tabs>
          <w:tab w:val="num" w:pos="760"/>
        </w:tabs>
        <w:ind w:left="0" w:firstLine="0"/>
      </w:pPr>
      <w:rPr>
        <w:rFonts w:hint="default"/>
        <w:color w:val="00629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64D460AA"/>
    <w:multiLevelType w:val="multilevel"/>
    <w:tmpl w:val="CD96871E"/>
    <w:numStyleLink w:val="H2Restart"/>
  </w:abstractNum>
  <w:abstractNum w:abstractNumId="36" w15:restartNumberingAfterBreak="0">
    <w:nsid w:val="651D64E4"/>
    <w:multiLevelType w:val="multilevel"/>
    <w:tmpl w:val="CD96871E"/>
    <w:numStyleLink w:val="H2Restart"/>
  </w:abstractNum>
  <w:abstractNum w:abstractNumId="37" w15:restartNumberingAfterBreak="0">
    <w:nsid w:val="685D76CD"/>
    <w:multiLevelType w:val="multilevel"/>
    <w:tmpl w:val="CD96871E"/>
    <w:numStyleLink w:val="H2Restart"/>
  </w:abstractNum>
  <w:abstractNum w:abstractNumId="38" w15:restartNumberingAfterBreak="0">
    <w:nsid w:val="6BFE4F79"/>
    <w:multiLevelType w:val="hybridMultilevel"/>
    <w:tmpl w:val="2E865934"/>
    <w:lvl w:ilvl="0" w:tplc="6B505B88">
      <w:start w:val="1"/>
      <w:numFmt w:val="upperLetter"/>
      <w:pStyle w:val="H2First"/>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9" w15:restartNumberingAfterBreak="0">
    <w:nsid w:val="72FC6D80"/>
    <w:multiLevelType w:val="multilevel"/>
    <w:tmpl w:val="CD96871E"/>
    <w:numStyleLink w:val="H2Restart"/>
  </w:abstractNum>
  <w:num w:numId="1" w16cid:durableId="146632016">
    <w:abstractNumId w:val="0"/>
  </w:num>
  <w:num w:numId="2" w16cid:durableId="2139685392">
    <w:abstractNumId w:val="11"/>
  </w:num>
  <w:num w:numId="3" w16cid:durableId="1730304559">
    <w:abstractNumId w:val="21"/>
  </w:num>
  <w:num w:numId="4" w16cid:durableId="1904947642">
    <w:abstractNumId w:val="17"/>
  </w:num>
  <w:num w:numId="5" w16cid:durableId="2086564019">
    <w:abstractNumId w:val="34"/>
  </w:num>
  <w:num w:numId="6" w16cid:durableId="1720010044">
    <w:abstractNumId w:val="23"/>
  </w:num>
  <w:num w:numId="7" w16cid:durableId="1589195024">
    <w:abstractNumId w:val="9"/>
  </w:num>
  <w:num w:numId="8" w16cid:durableId="1483892291">
    <w:abstractNumId w:val="13"/>
  </w:num>
  <w:num w:numId="9" w16cid:durableId="572131377">
    <w:abstractNumId w:val="28"/>
  </w:num>
  <w:num w:numId="10" w16cid:durableId="282537363">
    <w:abstractNumId w:val="6"/>
  </w:num>
  <w:num w:numId="11" w16cid:durableId="653067656">
    <w:abstractNumId w:val="33"/>
  </w:num>
  <w:num w:numId="12" w16cid:durableId="255796949">
    <w:abstractNumId w:val="29"/>
  </w:num>
  <w:num w:numId="13" w16cid:durableId="511922190">
    <w:abstractNumId w:val="4"/>
  </w:num>
  <w:num w:numId="14" w16cid:durableId="1166827748">
    <w:abstractNumId w:val="5"/>
    <w:lvlOverride w:ilvl="0">
      <w:lvl w:ilvl="0">
        <w:start w:val="1"/>
        <w:numFmt w:val="upperLetter"/>
        <w:suff w:val="space"/>
        <w:lvlText w:val="%1."/>
        <w:lvlJc w:val="left"/>
        <w:pPr>
          <w:ind w:left="0" w:firstLine="0"/>
        </w:pPr>
        <w:rPr>
          <w:rFonts w:hint="default"/>
        </w:rPr>
      </w:lvl>
    </w:lvlOverride>
  </w:num>
  <w:num w:numId="15" w16cid:durableId="1487938667">
    <w:abstractNumId w:val="12"/>
  </w:num>
  <w:num w:numId="16" w16cid:durableId="1982534741">
    <w:abstractNumId w:val="26"/>
  </w:num>
  <w:num w:numId="17" w16cid:durableId="139330846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95729568">
    <w:abstractNumId w:val="38"/>
  </w:num>
  <w:num w:numId="19" w16cid:durableId="269047845">
    <w:abstractNumId w:val="3"/>
  </w:num>
  <w:num w:numId="20" w16cid:durableId="909580657">
    <w:abstractNumId w:val="2"/>
  </w:num>
  <w:num w:numId="21" w16cid:durableId="373579168">
    <w:abstractNumId w:val="24"/>
  </w:num>
  <w:num w:numId="22" w16cid:durableId="1745251843">
    <w:abstractNumId w:val="8"/>
  </w:num>
  <w:num w:numId="23" w16cid:durableId="2111774571">
    <w:abstractNumId w:val="16"/>
  </w:num>
  <w:num w:numId="24" w16cid:durableId="143159150">
    <w:abstractNumId w:val="36"/>
  </w:num>
  <w:num w:numId="25" w16cid:durableId="1312634794">
    <w:abstractNumId w:val="27"/>
  </w:num>
  <w:num w:numId="26" w16cid:durableId="237444995">
    <w:abstractNumId w:val="32"/>
  </w:num>
  <w:num w:numId="27" w16cid:durableId="376199287">
    <w:abstractNumId w:val="18"/>
  </w:num>
  <w:num w:numId="28" w16cid:durableId="1079518982">
    <w:abstractNumId w:val="25"/>
  </w:num>
  <w:num w:numId="29" w16cid:durableId="1536120966">
    <w:abstractNumId w:val="39"/>
  </w:num>
  <w:num w:numId="30" w16cid:durableId="1012683639">
    <w:abstractNumId w:val="10"/>
  </w:num>
  <w:num w:numId="31" w16cid:durableId="581259744">
    <w:abstractNumId w:val="37"/>
  </w:num>
  <w:num w:numId="32" w16cid:durableId="550194706">
    <w:abstractNumId w:val="19"/>
  </w:num>
  <w:num w:numId="33" w16cid:durableId="986592793">
    <w:abstractNumId w:val="35"/>
  </w:num>
  <w:num w:numId="34" w16cid:durableId="131562090">
    <w:abstractNumId w:val="30"/>
  </w:num>
  <w:num w:numId="35" w16cid:durableId="215555830">
    <w:abstractNumId w:val="22"/>
  </w:num>
  <w:num w:numId="36" w16cid:durableId="752821514">
    <w:abstractNumId w:val="14"/>
  </w:num>
  <w:num w:numId="37" w16cid:durableId="102464003">
    <w:abstractNumId w:val="20"/>
  </w:num>
  <w:num w:numId="38" w16cid:durableId="26297219">
    <w:abstractNumId w:val="15"/>
  </w:num>
  <w:num w:numId="39" w16cid:durableId="631059541">
    <w:abstractNumId w:val="7"/>
  </w:num>
  <w:num w:numId="40" w16cid:durableId="462891185">
    <w:abstractNumId w:val="1"/>
  </w:num>
  <w:num w:numId="41" w16cid:durableId="964313124">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577785744">
    <w:abstractNumId w:val="3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D2D"/>
    <w:rsid w:val="0000046F"/>
    <w:rsid w:val="000005DE"/>
    <w:rsid w:val="00001006"/>
    <w:rsid w:val="00002951"/>
    <w:rsid w:val="00015E73"/>
    <w:rsid w:val="00015E9A"/>
    <w:rsid w:val="0001799E"/>
    <w:rsid w:val="00017C56"/>
    <w:rsid w:val="00021C67"/>
    <w:rsid w:val="00023D75"/>
    <w:rsid w:val="00024A01"/>
    <w:rsid w:val="00027AA1"/>
    <w:rsid w:val="0003250B"/>
    <w:rsid w:val="0003253A"/>
    <w:rsid w:val="00033D56"/>
    <w:rsid w:val="00034A7F"/>
    <w:rsid w:val="00035315"/>
    <w:rsid w:val="00040C78"/>
    <w:rsid w:val="00041819"/>
    <w:rsid w:val="00043A88"/>
    <w:rsid w:val="000518DD"/>
    <w:rsid w:val="00052666"/>
    <w:rsid w:val="00052968"/>
    <w:rsid w:val="00057E9A"/>
    <w:rsid w:val="00060D60"/>
    <w:rsid w:val="00061511"/>
    <w:rsid w:val="00061B24"/>
    <w:rsid w:val="00065CD5"/>
    <w:rsid w:val="00067C21"/>
    <w:rsid w:val="00070737"/>
    <w:rsid w:val="000714C3"/>
    <w:rsid w:val="00071D5E"/>
    <w:rsid w:val="00076966"/>
    <w:rsid w:val="00083EC4"/>
    <w:rsid w:val="000844AB"/>
    <w:rsid w:val="00084BD2"/>
    <w:rsid w:val="00090D81"/>
    <w:rsid w:val="00090E84"/>
    <w:rsid w:val="0009131B"/>
    <w:rsid w:val="00091F92"/>
    <w:rsid w:val="00092C74"/>
    <w:rsid w:val="00094BAA"/>
    <w:rsid w:val="000A1FA2"/>
    <w:rsid w:val="000A3B16"/>
    <w:rsid w:val="000A40E6"/>
    <w:rsid w:val="000B2C18"/>
    <w:rsid w:val="000B330B"/>
    <w:rsid w:val="000B7135"/>
    <w:rsid w:val="000C01F4"/>
    <w:rsid w:val="000C09C8"/>
    <w:rsid w:val="000C0E3B"/>
    <w:rsid w:val="000C221B"/>
    <w:rsid w:val="000C426E"/>
    <w:rsid w:val="000D3A5A"/>
    <w:rsid w:val="000D4A20"/>
    <w:rsid w:val="000D6320"/>
    <w:rsid w:val="000E4447"/>
    <w:rsid w:val="000F25D7"/>
    <w:rsid w:val="000F33CB"/>
    <w:rsid w:val="000F5003"/>
    <w:rsid w:val="0010090B"/>
    <w:rsid w:val="00104663"/>
    <w:rsid w:val="00104CB0"/>
    <w:rsid w:val="00105925"/>
    <w:rsid w:val="00107070"/>
    <w:rsid w:val="001072E6"/>
    <w:rsid w:val="001120C4"/>
    <w:rsid w:val="0011425D"/>
    <w:rsid w:val="001146BF"/>
    <w:rsid w:val="0011479C"/>
    <w:rsid w:val="00114A56"/>
    <w:rsid w:val="00117D9A"/>
    <w:rsid w:val="00121CF0"/>
    <w:rsid w:val="00121E38"/>
    <w:rsid w:val="001316F6"/>
    <w:rsid w:val="00134A06"/>
    <w:rsid w:val="0014000F"/>
    <w:rsid w:val="0014141F"/>
    <w:rsid w:val="00141D98"/>
    <w:rsid w:val="00144E81"/>
    <w:rsid w:val="00151703"/>
    <w:rsid w:val="0016308D"/>
    <w:rsid w:val="00164873"/>
    <w:rsid w:val="00165F70"/>
    <w:rsid w:val="001661D9"/>
    <w:rsid w:val="00166BEA"/>
    <w:rsid w:val="00170818"/>
    <w:rsid w:val="0017288F"/>
    <w:rsid w:val="00174020"/>
    <w:rsid w:val="00174D84"/>
    <w:rsid w:val="00176753"/>
    <w:rsid w:val="001777E5"/>
    <w:rsid w:val="00182839"/>
    <w:rsid w:val="00185AFE"/>
    <w:rsid w:val="00186F4C"/>
    <w:rsid w:val="0019262C"/>
    <w:rsid w:val="001955E9"/>
    <w:rsid w:val="0019723F"/>
    <w:rsid w:val="001A4A79"/>
    <w:rsid w:val="001A773F"/>
    <w:rsid w:val="001A7827"/>
    <w:rsid w:val="001B1B9C"/>
    <w:rsid w:val="001B2F14"/>
    <w:rsid w:val="001B4688"/>
    <w:rsid w:val="001C2E5E"/>
    <w:rsid w:val="001C3B16"/>
    <w:rsid w:val="001C495F"/>
    <w:rsid w:val="001C597C"/>
    <w:rsid w:val="001D0247"/>
    <w:rsid w:val="001D3924"/>
    <w:rsid w:val="001D3AED"/>
    <w:rsid w:val="001D4C0D"/>
    <w:rsid w:val="001D5027"/>
    <w:rsid w:val="001D5163"/>
    <w:rsid w:val="001D5407"/>
    <w:rsid w:val="001D6F48"/>
    <w:rsid w:val="001E3E87"/>
    <w:rsid w:val="001E4083"/>
    <w:rsid w:val="001E4698"/>
    <w:rsid w:val="001E69B5"/>
    <w:rsid w:val="001E6A66"/>
    <w:rsid w:val="001E6CFA"/>
    <w:rsid w:val="001F0601"/>
    <w:rsid w:val="001F4FA0"/>
    <w:rsid w:val="001F73C8"/>
    <w:rsid w:val="00200B38"/>
    <w:rsid w:val="00201A76"/>
    <w:rsid w:val="002025F9"/>
    <w:rsid w:val="00205C43"/>
    <w:rsid w:val="00207411"/>
    <w:rsid w:val="00210142"/>
    <w:rsid w:val="00210E41"/>
    <w:rsid w:val="00211824"/>
    <w:rsid w:val="002141C8"/>
    <w:rsid w:val="00215F8D"/>
    <w:rsid w:val="002170E6"/>
    <w:rsid w:val="00220965"/>
    <w:rsid w:val="00223B9B"/>
    <w:rsid w:val="00227DAA"/>
    <w:rsid w:val="00231E14"/>
    <w:rsid w:val="00241628"/>
    <w:rsid w:val="00242C14"/>
    <w:rsid w:val="002467D5"/>
    <w:rsid w:val="00252416"/>
    <w:rsid w:val="00253CFC"/>
    <w:rsid w:val="002560D8"/>
    <w:rsid w:val="002633DB"/>
    <w:rsid w:val="0026796B"/>
    <w:rsid w:val="00275282"/>
    <w:rsid w:val="0028303E"/>
    <w:rsid w:val="00284674"/>
    <w:rsid w:val="00285B40"/>
    <w:rsid w:val="00285DD4"/>
    <w:rsid w:val="00293D7A"/>
    <w:rsid w:val="00295093"/>
    <w:rsid w:val="002967D4"/>
    <w:rsid w:val="002969CB"/>
    <w:rsid w:val="002A000F"/>
    <w:rsid w:val="002A048A"/>
    <w:rsid w:val="002A14BA"/>
    <w:rsid w:val="002A24AD"/>
    <w:rsid w:val="002A3234"/>
    <w:rsid w:val="002A4118"/>
    <w:rsid w:val="002A486E"/>
    <w:rsid w:val="002A529C"/>
    <w:rsid w:val="002B0C37"/>
    <w:rsid w:val="002B17AE"/>
    <w:rsid w:val="002B197E"/>
    <w:rsid w:val="002B379B"/>
    <w:rsid w:val="002B5DFD"/>
    <w:rsid w:val="002B62BC"/>
    <w:rsid w:val="002B7F19"/>
    <w:rsid w:val="002C2CCF"/>
    <w:rsid w:val="002C419A"/>
    <w:rsid w:val="002C707C"/>
    <w:rsid w:val="002D11FD"/>
    <w:rsid w:val="002D26B0"/>
    <w:rsid w:val="002D3E91"/>
    <w:rsid w:val="002D4A44"/>
    <w:rsid w:val="002D54D7"/>
    <w:rsid w:val="002D7313"/>
    <w:rsid w:val="002E02B1"/>
    <w:rsid w:val="002E396B"/>
    <w:rsid w:val="002E3D2C"/>
    <w:rsid w:val="002F1879"/>
    <w:rsid w:val="002F1D45"/>
    <w:rsid w:val="002F3420"/>
    <w:rsid w:val="002F42B2"/>
    <w:rsid w:val="002F63A1"/>
    <w:rsid w:val="003036BA"/>
    <w:rsid w:val="00304392"/>
    <w:rsid w:val="0030758F"/>
    <w:rsid w:val="00313105"/>
    <w:rsid w:val="003141B6"/>
    <w:rsid w:val="003146F4"/>
    <w:rsid w:val="00321775"/>
    <w:rsid w:val="00321EB5"/>
    <w:rsid w:val="00322DAA"/>
    <w:rsid w:val="00323E56"/>
    <w:rsid w:val="00327067"/>
    <w:rsid w:val="00327078"/>
    <w:rsid w:val="00330A48"/>
    <w:rsid w:val="00332A2D"/>
    <w:rsid w:val="0033583E"/>
    <w:rsid w:val="00336145"/>
    <w:rsid w:val="0034128C"/>
    <w:rsid w:val="003412F9"/>
    <w:rsid w:val="003415A6"/>
    <w:rsid w:val="00344CE5"/>
    <w:rsid w:val="003469D0"/>
    <w:rsid w:val="003504E9"/>
    <w:rsid w:val="003519F1"/>
    <w:rsid w:val="00351EDC"/>
    <w:rsid w:val="003520A4"/>
    <w:rsid w:val="00353818"/>
    <w:rsid w:val="003541F4"/>
    <w:rsid w:val="00355460"/>
    <w:rsid w:val="0035702D"/>
    <w:rsid w:val="00360535"/>
    <w:rsid w:val="003628EB"/>
    <w:rsid w:val="0036342D"/>
    <w:rsid w:val="00363602"/>
    <w:rsid w:val="003639EB"/>
    <w:rsid w:val="00364197"/>
    <w:rsid w:val="00373A9F"/>
    <w:rsid w:val="003756EB"/>
    <w:rsid w:val="003763CB"/>
    <w:rsid w:val="00380D62"/>
    <w:rsid w:val="00381001"/>
    <w:rsid w:val="0038145D"/>
    <w:rsid w:val="00382E5B"/>
    <w:rsid w:val="00383853"/>
    <w:rsid w:val="00384980"/>
    <w:rsid w:val="003874CB"/>
    <w:rsid w:val="00390B86"/>
    <w:rsid w:val="00391E44"/>
    <w:rsid w:val="00393CE8"/>
    <w:rsid w:val="003940D4"/>
    <w:rsid w:val="003A0AEE"/>
    <w:rsid w:val="003A5252"/>
    <w:rsid w:val="003A7420"/>
    <w:rsid w:val="003A75E8"/>
    <w:rsid w:val="003B2723"/>
    <w:rsid w:val="003B3AC6"/>
    <w:rsid w:val="003B3FFE"/>
    <w:rsid w:val="003C1744"/>
    <w:rsid w:val="003C615D"/>
    <w:rsid w:val="003D112E"/>
    <w:rsid w:val="003D12A0"/>
    <w:rsid w:val="003D1A98"/>
    <w:rsid w:val="003D37D6"/>
    <w:rsid w:val="003D3FE2"/>
    <w:rsid w:val="003D4E93"/>
    <w:rsid w:val="003D640F"/>
    <w:rsid w:val="003D7316"/>
    <w:rsid w:val="003D7D09"/>
    <w:rsid w:val="003E17F3"/>
    <w:rsid w:val="003F7D7E"/>
    <w:rsid w:val="00402953"/>
    <w:rsid w:val="00410A00"/>
    <w:rsid w:val="0041108E"/>
    <w:rsid w:val="0041189C"/>
    <w:rsid w:val="004127AE"/>
    <w:rsid w:val="0041399D"/>
    <w:rsid w:val="00416591"/>
    <w:rsid w:val="00416D80"/>
    <w:rsid w:val="00417315"/>
    <w:rsid w:val="00420CA6"/>
    <w:rsid w:val="00422716"/>
    <w:rsid w:val="004360DF"/>
    <w:rsid w:val="00440B9E"/>
    <w:rsid w:val="004423FC"/>
    <w:rsid w:val="0044242A"/>
    <w:rsid w:val="00442439"/>
    <w:rsid w:val="00442B34"/>
    <w:rsid w:val="00443AB2"/>
    <w:rsid w:val="00444E10"/>
    <w:rsid w:val="004462AC"/>
    <w:rsid w:val="0044635D"/>
    <w:rsid w:val="00446720"/>
    <w:rsid w:val="004511F5"/>
    <w:rsid w:val="004570C8"/>
    <w:rsid w:val="00457310"/>
    <w:rsid w:val="00457471"/>
    <w:rsid w:val="0045757E"/>
    <w:rsid w:val="00460D49"/>
    <w:rsid w:val="004642B5"/>
    <w:rsid w:val="00465AB7"/>
    <w:rsid w:val="00465CAE"/>
    <w:rsid w:val="004701DE"/>
    <w:rsid w:val="004702C9"/>
    <w:rsid w:val="00472E27"/>
    <w:rsid w:val="004772EC"/>
    <w:rsid w:val="00477BF4"/>
    <w:rsid w:val="004811E6"/>
    <w:rsid w:val="00482836"/>
    <w:rsid w:val="00482EE5"/>
    <w:rsid w:val="00483326"/>
    <w:rsid w:val="00486D54"/>
    <w:rsid w:val="00486E60"/>
    <w:rsid w:val="00491213"/>
    <w:rsid w:val="0049327F"/>
    <w:rsid w:val="00493B58"/>
    <w:rsid w:val="0049433A"/>
    <w:rsid w:val="004949B8"/>
    <w:rsid w:val="004A0234"/>
    <w:rsid w:val="004A11FE"/>
    <w:rsid w:val="004A465D"/>
    <w:rsid w:val="004A6349"/>
    <w:rsid w:val="004A7ADD"/>
    <w:rsid w:val="004B30CA"/>
    <w:rsid w:val="004B7C73"/>
    <w:rsid w:val="004C1DD3"/>
    <w:rsid w:val="004C23B8"/>
    <w:rsid w:val="004C41FA"/>
    <w:rsid w:val="004C6BFB"/>
    <w:rsid w:val="004D0892"/>
    <w:rsid w:val="004D0B9B"/>
    <w:rsid w:val="004D0E4A"/>
    <w:rsid w:val="004D67B3"/>
    <w:rsid w:val="004F105E"/>
    <w:rsid w:val="004F2C2F"/>
    <w:rsid w:val="004F6E39"/>
    <w:rsid w:val="004F7211"/>
    <w:rsid w:val="00500D8B"/>
    <w:rsid w:val="00502AFF"/>
    <w:rsid w:val="00504A78"/>
    <w:rsid w:val="00505244"/>
    <w:rsid w:val="00505C65"/>
    <w:rsid w:val="00506758"/>
    <w:rsid w:val="00510D59"/>
    <w:rsid w:val="005151B5"/>
    <w:rsid w:val="00517856"/>
    <w:rsid w:val="005206B2"/>
    <w:rsid w:val="00520DF1"/>
    <w:rsid w:val="00523407"/>
    <w:rsid w:val="00523A05"/>
    <w:rsid w:val="00525891"/>
    <w:rsid w:val="0052668A"/>
    <w:rsid w:val="00527F31"/>
    <w:rsid w:val="0053363E"/>
    <w:rsid w:val="005336C5"/>
    <w:rsid w:val="005376CB"/>
    <w:rsid w:val="00540BCE"/>
    <w:rsid w:val="005411C5"/>
    <w:rsid w:val="00541F28"/>
    <w:rsid w:val="0054241F"/>
    <w:rsid w:val="0054746D"/>
    <w:rsid w:val="00551F45"/>
    <w:rsid w:val="00555F01"/>
    <w:rsid w:val="0055767F"/>
    <w:rsid w:val="00564E0C"/>
    <w:rsid w:val="00565A4C"/>
    <w:rsid w:val="00566CE5"/>
    <w:rsid w:val="00570D65"/>
    <w:rsid w:val="005722AA"/>
    <w:rsid w:val="005762F3"/>
    <w:rsid w:val="00577FB4"/>
    <w:rsid w:val="00581E03"/>
    <w:rsid w:val="00583985"/>
    <w:rsid w:val="005842B4"/>
    <w:rsid w:val="00587CF1"/>
    <w:rsid w:val="005902A9"/>
    <w:rsid w:val="0059062E"/>
    <w:rsid w:val="00590A10"/>
    <w:rsid w:val="0059297F"/>
    <w:rsid w:val="00593176"/>
    <w:rsid w:val="00594006"/>
    <w:rsid w:val="00594D78"/>
    <w:rsid w:val="00594F41"/>
    <w:rsid w:val="00596126"/>
    <w:rsid w:val="005A11DA"/>
    <w:rsid w:val="005A59C2"/>
    <w:rsid w:val="005A5B4F"/>
    <w:rsid w:val="005A6FCB"/>
    <w:rsid w:val="005A7F6C"/>
    <w:rsid w:val="005B0961"/>
    <w:rsid w:val="005B16F4"/>
    <w:rsid w:val="005B186D"/>
    <w:rsid w:val="005B3311"/>
    <w:rsid w:val="005B62EC"/>
    <w:rsid w:val="005C047E"/>
    <w:rsid w:val="005C11FA"/>
    <w:rsid w:val="005C261D"/>
    <w:rsid w:val="005C3781"/>
    <w:rsid w:val="005C3955"/>
    <w:rsid w:val="005C5095"/>
    <w:rsid w:val="005C6411"/>
    <w:rsid w:val="005C7DF8"/>
    <w:rsid w:val="005D0EDF"/>
    <w:rsid w:val="005D3ACC"/>
    <w:rsid w:val="005D6B46"/>
    <w:rsid w:val="005D6C52"/>
    <w:rsid w:val="005E0BAE"/>
    <w:rsid w:val="005E0E65"/>
    <w:rsid w:val="005E1970"/>
    <w:rsid w:val="005E36FF"/>
    <w:rsid w:val="005E5941"/>
    <w:rsid w:val="005F14FC"/>
    <w:rsid w:val="005F2A4C"/>
    <w:rsid w:val="005F36BF"/>
    <w:rsid w:val="005F7D12"/>
    <w:rsid w:val="00601262"/>
    <w:rsid w:val="00604D84"/>
    <w:rsid w:val="00607722"/>
    <w:rsid w:val="006129FD"/>
    <w:rsid w:val="00616EC7"/>
    <w:rsid w:val="0062116B"/>
    <w:rsid w:val="00622CC0"/>
    <w:rsid w:val="0062439C"/>
    <w:rsid w:val="0062501A"/>
    <w:rsid w:val="006259D1"/>
    <w:rsid w:val="0063180F"/>
    <w:rsid w:val="00631923"/>
    <w:rsid w:val="00632C12"/>
    <w:rsid w:val="0063306E"/>
    <w:rsid w:val="00643136"/>
    <w:rsid w:val="0064321C"/>
    <w:rsid w:val="006452AD"/>
    <w:rsid w:val="00647B74"/>
    <w:rsid w:val="00650847"/>
    <w:rsid w:val="00650AC5"/>
    <w:rsid w:val="00652438"/>
    <w:rsid w:val="00653552"/>
    <w:rsid w:val="00654C7D"/>
    <w:rsid w:val="0065507F"/>
    <w:rsid w:val="0065710F"/>
    <w:rsid w:val="00660B10"/>
    <w:rsid w:val="006621CC"/>
    <w:rsid w:val="00663B0C"/>
    <w:rsid w:val="00670377"/>
    <w:rsid w:val="006772E7"/>
    <w:rsid w:val="006777B9"/>
    <w:rsid w:val="00680E60"/>
    <w:rsid w:val="00681461"/>
    <w:rsid w:val="006817D9"/>
    <w:rsid w:val="006821E9"/>
    <w:rsid w:val="006831DC"/>
    <w:rsid w:val="00687034"/>
    <w:rsid w:val="006873AA"/>
    <w:rsid w:val="006874AA"/>
    <w:rsid w:val="006920B0"/>
    <w:rsid w:val="00692183"/>
    <w:rsid w:val="00692480"/>
    <w:rsid w:val="006932A5"/>
    <w:rsid w:val="006934C7"/>
    <w:rsid w:val="00697787"/>
    <w:rsid w:val="006A0B53"/>
    <w:rsid w:val="006A0DAB"/>
    <w:rsid w:val="006A190F"/>
    <w:rsid w:val="006A2937"/>
    <w:rsid w:val="006A3523"/>
    <w:rsid w:val="006B0525"/>
    <w:rsid w:val="006B24AE"/>
    <w:rsid w:val="006B6C9F"/>
    <w:rsid w:val="006C2A2F"/>
    <w:rsid w:val="006C550F"/>
    <w:rsid w:val="006C599B"/>
    <w:rsid w:val="006C69B6"/>
    <w:rsid w:val="006D02FC"/>
    <w:rsid w:val="006D096B"/>
    <w:rsid w:val="006D2F5B"/>
    <w:rsid w:val="006D31AB"/>
    <w:rsid w:val="006D446E"/>
    <w:rsid w:val="006D4A1A"/>
    <w:rsid w:val="006D5343"/>
    <w:rsid w:val="006D6A18"/>
    <w:rsid w:val="006D6BB5"/>
    <w:rsid w:val="006D7BFC"/>
    <w:rsid w:val="006E3B17"/>
    <w:rsid w:val="006F6C87"/>
    <w:rsid w:val="006F6F42"/>
    <w:rsid w:val="0070502C"/>
    <w:rsid w:val="007074FD"/>
    <w:rsid w:val="0070798C"/>
    <w:rsid w:val="00715990"/>
    <w:rsid w:val="0071635C"/>
    <w:rsid w:val="00720592"/>
    <w:rsid w:val="00721E50"/>
    <w:rsid w:val="00722E0A"/>
    <w:rsid w:val="00722FB0"/>
    <w:rsid w:val="00723860"/>
    <w:rsid w:val="007250AC"/>
    <w:rsid w:val="007268F5"/>
    <w:rsid w:val="00731485"/>
    <w:rsid w:val="00731792"/>
    <w:rsid w:val="00732067"/>
    <w:rsid w:val="0074265D"/>
    <w:rsid w:val="00742C4F"/>
    <w:rsid w:val="0074666A"/>
    <w:rsid w:val="007472D6"/>
    <w:rsid w:val="00753AD5"/>
    <w:rsid w:val="00754771"/>
    <w:rsid w:val="007573E5"/>
    <w:rsid w:val="00762309"/>
    <w:rsid w:val="00765478"/>
    <w:rsid w:val="00765EFC"/>
    <w:rsid w:val="00766175"/>
    <w:rsid w:val="00767D54"/>
    <w:rsid w:val="00777554"/>
    <w:rsid w:val="00777FC6"/>
    <w:rsid w:val="0078331C"/>
    <w:rsid w:val="00785008"/>
    <w:rsid w:val="00786FBC"/>
    <w:rsid w:val="007908A3"/>
    <w:rsid w:val="00791AA8"/>
    <w:rsid w:val="00791FC4"/>
    <w:rsid w:val="007922D4"/>
    <w:rsid w:val="00795E68"/>
    <w:rsid w:val="00796645"/>
    <w:rsid w:val="00797CC2"/>
    <w:rsid w:val="00797D6C"/>
    <w:rsid w:val="007A1AE0"/>
    <w:rsid w:val="007A3BCE"/>
    <w:rsid w:val="007A706D"/>
    <w:rsid w:val="007A73F6"/>
    <w:rsid w:val="007B0961"/>
    <w:rsid w:val="007B2C20"/>
    <w:rsid w:val="007B42EE"/>
    <w:rsid w:val="007C4B89"/>
    <w:rsid w:val="007C6BED"/>
    <w:rsid w:val="007D55B1"/>
    <w:rsid w:val="007D57A8"/>
    <w:rsid w:val="007D73E9"/>
    <w:rsid w:val="007E0556"/>
    <w:rsid w:val="007E1456"/>
    <w:rsid w:val="007E17FA"/>
    <w:rsid w:val="007E44F5"/>
    <w:rsid w:val="007E4ED6"/>
    <w:rsid w:val="007E56C6"/>
    <w:rsid w:val="007F0C04"/>
    <w:rsid w:val="007F2F1F"/>
    <w:rsid w:val="007F46D2"/>
    <w:rsid w:val="007F4EC6"/>
    <w:rsid w:val="007F7FD1"/>
    <w:rsid w:val="00800B09"/>
    <w:rsid w:val="0080221D"/>
    <w:rsid w:val="00802FF6"/>
    <w:rsid w:val="00803F2B"/>
    <w:rsid w:val="008041BD"/>
    <w:rsid w:val="008053A6"/>
    <w:rsid w:val="00805B41"/>
    <w:rsid w:val="008105D3"/>
    <w:rsid w:val="00814D2E"/>
    <w:rsid w:val="008158A3"/>
    <w:rsid w:val="008166F7"/>
    <w:rsid w:val="008208C7"/>
    <w:rsid w:val="00825012"/>
    <w:rsid w:val="008310FF"/>
    <w:rsid w:val="00833C2D"/>
    <w:rsid w:val="008379B1"/>
    <w:rsid w:val="0084556B"/>
    <w:rsid w:val="0084716E"/>
    <w:rsid w:val="00853B01"/>
    <w:rsid w:val="00853F30"/>
    <w:rsid w:val="008540B3"/>
    <w:rsid w:val="0085574D"/>
    <w:rsid w:val="00855E21"/>
    <w:rsid w:val="00856CFF"/>
    <w:rsid w:val="0086016B"/>
    <w:rsid w:val="00860963"/>
    <w:rsid w:val="008612B0"/>
    <w:rsid w:val="008637A0"/>
    <w:rsid w:val="00864000"/>
    <w:rsid w:val="00864EFE"/>
    <w:rsid w:val="00865D5B"/>
    <w:rsid w:val="0086631A"/>
    <w:rsid w:val="0086796B"/>
    <w:rsid w:val="008757F8"/>
    <w:rsid w:val="008773E5"/>
    <w:rsid w:val="00881AEC"/>
    <w:rsid w:val="00884341"/>
    <w:rsid w:val="00884362"/>
    <w:rsid w:val="00887535"/>
    <w:rsid w:val="00887BB0"/>
    <w:rsid w:val="0089022F"/>
    <w:rsid w:val="008A05F2"/>
    <w:rsid w:val="008A240F"/>
    <w:rsid w:val="008B116A"/>
    <w:rsid w:val="008B2BCE"/>
    <w:rsid w:val="008B46A7"/>
    <w:rsid w:val="008B5F7B"/>
    <w:rsid w:val="008B7348"/>
    <w:rsid w:val="008C075C"/>
    <w:rsid w:val="008C093B"/>
    <w:rsid w:val="008C4341"/>
    <w:rsid w:val="008C5AA7"/>
    <w:rsid w:val="008C6D05"/>
    <w:rsid w:val="008D1510"/>
    <w:rsid w:val="008D384B"/>
    <w:rsid w:val="008D3922"/>
    <w:rsid w:val="008D44E3"/>
    <w:rsid w:val="008D4E58"/>
    <w:rsid w:val="008D7A2F"/>
    <w:rsid w:val="008E2ED6"/>
    <w:rsid w:val="008E4786"/>
    <w:rsid w:val="008E5D55"/>
    <w:rsid w:val="008F26AD"/>
    <w:rsid w:val="008F2E64"/>
    <w:rsid w:val="008F2FB3"/>
    <w:rsid w:val="008F4B39"/>
    <w:rsid w:val="008F78D5"/>
    <w:rsid w:val="00902F55"/>
    <w:rsid w:val="0090470C"/>
    <w:rsid w:val="00906198"/>
    <w:rsid w:val="00910718"/>
    <w:rsid w:val="009116B8"/>
    <w:rsid w:val="00911CA6"/>
    <w:rsid w:val="00916FEB"/>
    <w:rsid w:val="009170D7"/>
    <w:rsid w:val="0091745E"/>
    <w:rsid w:val="009233F5"/>
    <w:rsid w:val="00924109"/>
    <w:rsid w:val="009261C4"/>
    <w:rsid w:val="00926D5C"/>
    <w:rsid w:val="00930956"/>
    <w:rsid w:val="009360D1"/>
    <w:rsid w:val="009364DE"/>
    <w:rsid w:val="00947BF1"/>
    <w:rsid w:val="0095097F"/>
    <w:rsid w:val="00950F2C"/>
    <w:rsid w:val="009512A7"/>
    <w:rsid w:val="009543EE"/>
    <w:rsid w:val="00967F32"/>
    <w:rsid w:val="009702DE"/>
    <w:rsid w:val="00971B64"/>
    <w:rsid w:val="00973331"/>
    <w:rsid w:val="00974712"/>
    <w:rsid w:val="00976266"/>
    <w:rsid w:val="00977BEF"/>
    <w:rsid w:val="0098218D"/>
    <w:rsid w:val="00990E54"/>
    <w:rsid w:val="00990F3D"/>
    <w:rsid w:val="00996B36"/>
    <w:rsid w:val="009A239C"/>
    <w:rsid w:val="009A3976"/>
    <w:rsid w:val="009A3AAF"/>
    <w:rsid w:val="009A3EAE"/>
    <w:rsid w:val="009A4956"/>
    <w:rsid w:val="009A6156"/>
    <w:rsid w:val="009A7747"/>
    <w:rsid w:val="009A7DCC"/>
    <w:rsid w:val="009A7E35"/>
    <w:rsid w:val="009B0652"/>
    <w:rsid w:val="009B23BA"/>
    <w:rsid w:val="009B271F"/>
    <w:rsid w:val="009B2AEC"/>
    <w:rsid w:val="009B2C68"/>
    <w:rsid w:val="009B6ADC"/>
    <w:rsid w:val="009C1BFF"/>
    <w:rsid w:val="009C4DE4"/>
    <w:rsid w:val="009C79C4"/>
    <w:rsid w:val="009D219C"/>
    <w:rsid w:val="009D22F8"/>
    <w:rsid w:val="009D2CDF"/>
    <w:rsid w:val="009D3510"/>
    <w:rsid w:val="009D72AA"/>
    <w:rsid w:val="009E393C"/>
    <w:rsid w:val="009E6008"/>
    <w:rsid w:val="009E6385"/>
    <w:rsid w:val="009E6EE9"/>
    <w:rsid w:val="009F0268"/>
    <w:rsid w:val="009F1F2E"/>
    <w:rsid w:val="009F4313"/>
    <w:rsid w:val="009F494B"/>
    <w:rsid w:val="00A009EA"/>
    <w:rsid w:val="00A06892"/>
    <w:rsid w:val="00A07761"/>
    <w:rsid w:val="00A12D02"/>
    <w:rsid w:val="00A139C5"/>
    <w:rsid w:val="00A17980"/>
    <w:rsid w:val="00A21E33"/>
    <w:rsid w:val="00A21E81"/>
    <w:rsid w:val="00A25047"/>
    <w:rsid w:val="00A30934"/>
    <w:rsid w:val="00A33184"/>
    <w:rsid w:val="00A33C56"/>
    <w:rsid w:val="00A36342"/>
    <w:rsid w:val="00A4099B"/>
    <w:rsid w:val="00A42896"/>
    <w:rsid w:val="00A43179"/>
    <w:rsid w:val="00A45310"/>
    <w:rsid w:val="00A4771A"/>
    <w:rsid w:val="00A50D78"/>
    <w:rsid w:val="00A52005"/>
    <w:rsid w:val="00A53223"/>
    <w:rsid w:val="00A57BE7"/>
    <w:rsid w:val="00A611EE"/>
    <w:rsid w:val="00A6545C"/>
    <w:rsid w:val="00A6563F"/>
    <w:rsid w:val="00A66CCA"/>
    <w:rsid w:val="00A67F48"/>
    <w:rsid w:val="00A704D5"/>
    <w:rsid w:val="00A70752"/>
    <w:rsid w:val="00A7774E"/>
    <w:rsid w:val="00A8467A"/>
    <w:rsid w:val="00A86C97"/>
    <w:rsid w:val="00A86DE0"/>
    <w:rsid w:val="00A86E28"/>
    <w:rsid w:val="00A92AC5"/>
    <w:rsid w:val="00A93E28"/>
    <w:rsid w:val="00AA6824"/>
    <w:rsid w:val="00AA701D"/>
    <w:rsid w:val="00AB4207"/>
    <w:rsid w:val="00AC2B6A"/>
    <w:rsid w:val="00AD0FD6"/>
    <w:rsid w:val="00AD7994"/>
    <w:rsid w:val="00AE0A20"/>
    <w:rsid w:val="00AE31C7"/>
    <w:rsid w:val="00AE3911"/>
    <w:rsid w:val="00AE3DD9"/>
    <w:rsid w:val="00AE709A"/>
    <w:rsid w:val="00AE784D"/>
    <w:rsid w:val="00AF7E75"/>
    <w:rsid w:val="00B005D4"/>
    <w:rsid w:val="00B00868"/>
    <w:rsid w:val="00B01558"/>
    <w:rsid w:val="00B02FB1"/>
    <w:rsid w:val="00B0645A"/>
    <w:rsid w:val="00B06847"/>
    <w:rsid w:val="00B07042"/>
    <w:rsid w:val="00B071FD"/>
    <w:rsid w:val="00B07868"/>
    <w:rsid w:val="00B1340A"/>
    <w:rsid w:val="00B159DB"/>
    <w:rsid w:val="00B21B6E"/>
    <w:rsid w:val="00B220B5"/>
    <w:rsid w:val="00B22EA9"/>
    <w:rsid w:val="00B24F0E"/>
    <w:rsid w:val="00B262E4"/>
    <w:rsid w:val="00B313EF"/>
    <w:rsid w:val="00B40077"/>
    <w:rsid w:val="00B42160"/>
    <w:rsid w:val="00B43D5E"/>
    <w:rsid w:val="00B45A43"/>
    <w:rsid w:val="00B45D4C"/>
    <w:rsid w:val="00B54914"/>
    <w:rsid w:val="00B5501D"/>
    <w:rsid w:val="00B61668"/>
    <w:rsid w:val="00B6613A"/>
    <w:rsid w:val="00B70AB8"/>
    <w:rsid w:val="00B7110A"/>
    <w:rsid w:val="00B71D96"/>
    <w:rsid w:val="00B73845"/>
    <w:rsid w:val="00B76BA6"/>
    <w:rsid w:val="00B76BE5"/>
    <w:rsid w:val="00B80094"/>
    <w:rsid w:val="00B81523"/>
    <w:rsid w:val="00B81683"/>
    <w:rsid w:val="00B85469"/>
    <w:rsid w:val="00B902AE"/>
    <w:rsid w:val="00B9337F"/>
    <w:rsid w:val="00B94BF5"/>
    <w:rsid w:val="00B958C0"/>
    <w:rsid w:val="00B979BB"/>
    <w:rsid w:val="00B97F8D"/>
    <w:rsid w:val="00BA020C"/>
    <w:rsid w:val="00BA0D9F"/>
    <w:rsid w:val="00BA31AE"/>
    <w:rsid w:val="00BA7B2F"/>
    <w:rsid w:val="00BB4689"/>
    <w:rsid w:val="00BB5D21"/>
    <w:rsid w:val="00BB6C89"/>
    <w:rsid w:val="00BB72FD"/>
    <w:rsid w:val="00BC1036"/>
    <w:rsid w:val="00BC2D8F"/>
    <w:rsid w:val="00BC4302"/>
    <w:rsid w:val="00BC57BB"/>
    <w:rsid w:val="00BD13D0"/>
    <w:rsid w:val="00BD2CE8"/>
    <w:rsid w:val="00BD2E2F"/>
    <w:rsid w:val="00BD6B49"/>
    <w:rsid w:val="00BD7DD2"/>
    <w:rsid w:val="00BE0B38"/>
    <w:rsid w:val="00BE1BCC"/>
    <w:rsid w:val="00BE4777"/>
    <w:rsid w:val="00BF47AC"/>
    <w:rsid w:val="00BF71A1"/>
    <w:rsid w:val="00C017C5"/>
    <w:rsid w:val="00C01E2F"/>
    <w:rsid w:val="00C02BA6"/>
    <w:rsid w:val="00C03393"/>
    <w:rsid w:val="00C05C30"/>
    <w:rsid w:val="00C061C7"/>
    <w:rsid w:val="00C07C7D"/>
    <w:rsid w:val="00C13035"/>
    <w:rsid w:val="00C13F1C"/>
    <w:rsid w:val="00C1435D"/>
    <w:rsid w:val="00C162ED"/>
    <w:rsid w:val="00C202C1"/>
    <w:rsid w:val="00C2639C"/>
    <w:rsid w:val="00C263CC"/>
    <w:rsid w:val="00C276C8"/>
    <w:rsid w:val="00C2797C"/>
    <w:rsid w:val="00C34A5B"/>
    <w:rsid w:val="00C36E6D"/>
    <w:rsid w:val="00C3787E"/>
    <w:rsid w:val="00C42011"/>
    <w:rsid w:val="00C42BCF"/>
    <w:rsid w:val="00C4392E"/>
    <w:rsid w:val="00C45E9C"/>
    <w:rsid w:val="00C4774B"/>
    <w:rsid w:val="00C52B44"/>
    <w:rsid w:val="00C557BA"/>
    <w:rsid w:val="00C55C70"/>
    <w:rsid w:val="00C56EF3"/>
    <w:rsid w:val="00C57B14"/>
    <w:rsid w:val="00C65B54"/>
    <w:rsid w:val="00C71521"/>
    <w:rsid w:val="00C74121"/>
    <w:rsid w:val="00C74475"/>
    <w:rsid w:val="00C74538"/>
    <w:rsid w:val="00C74BFC"/>
    <w:rsid w:val="00C74C7A"/>
    <w:rsid w:val="00C8361D"/>
    <w:rsid w:val="00C868DA"/>
    <w:rsid w:val="00C90CAE"/>
    <w:rsid w:val="00C93054"/>
    <w:rsid w:val="00C957D8"/>
    <w:rsid w:val="00C95A94"/>
    <w:rsid w:val="00CA0618"/>
    <w:rsid w:val="00CA21C4"/>
    <w:rsid w:val="00CA2547"/>
    <w:rsid w:val="00CA2EC3"/>
    <w:rsid w:val="00CA4724"/>
    <w:rsid w:val="00CB00BE"/>
    <w:rsid w:val="00CB13E7"/>
    <w:rsid w:val="00CB191E"/>
    <w:rsid w:val="00CB2604"/>
    <w:rsid w:val="00CB2DB1"/>
    <w:rsid w:val="00CB3F7E"/>
    <w:rsid w:val="00CB47FC"/>
    <w:rsid w:val="00CB7E0F"/>
    <w:rsid w:val="00CC06D9"/>
    <w:rsid w:val="00CC32B5"/>
    <w:rsid w:val="00CC6C12"/>
    <w:rsid w:val="00CD2415"/>
    <w:rsid w:val="00CD2980"/>
    <w:rsid w:val="00CD2DF0"/>
    <w:rsid w:val="00CD3789"/>
    <w:rsid w:val="00CD4F00"/>
    <w:rsid w:val="00CD6C55"/>
    <w:rsid w:val="00CE1988"/>
    <w:rsid w:val="00CE3A39"/>
    <w:rsid w:val="00CE5F46"/>
    <w:rsid w:val="00CE715D"/>
    <w:rsid w:val="00CF1C08"/>
    <w:rsid w:val="00CF61B0"/>
    <w:rsid w:val="00CF6965"/>
    <w:rsid w:val="00CF6EC5"/>
    <w:rsid w:val="00D01A21"/>
    <w:rsid w:val="00D02B6A"/>
    <w:rsid w:val="00D04273"/>
    <w:rsid w:val="00D06451"/>
    <w:rsid w:val="00D10464"/>
    <w:rsid w:val="00D11438"/>
    <w:rsid w:val="00D11F00"/>
    <w:rsid w:val="00D11FD0"/>
    <w:rsid w:val="00D1286E"/>
    <w:rsid w:val="00D210E0"/>
    <w:rsid w:val="00D26E50"/>
    <w:rsid w:val="00D273C4"/>
    <w:rsid w:val="00D30B3E"/>
    <w:rsid w:val="00D31782"/>
    <w:rsid w:val="00D321C7"/>
    <w:rsid w:val="00D332C1"/>
    <w:rsid w:val="00D36F44"/>
    <w:rsid w:val="00D41CF4"/>
    <w:rsid w:val="00D44556"/>
    <w:rsid w:val="00D45F11"/>
    <w:rsid w:val="00D45F7B"/>
    <w:rsid w:val="00D46167"/>
    <w:rsid w:val="00D504EF"/>
    <w:rsid w:val="00D518FB"/>
    <w:rsid w:val="00D54DB4"/>
    <w:rsid w:val="00D56750"/>
    <w:rsid w:val="00D56AAE"/>
    <w:rsid w:val="00D60144"/>
    <w:rsid w:val="00D623F3"/>
    <w:rsid w:val="00D62A61"/>
    <w:rsid w:val="00D721CB"/>
    <w:rsid w:val="00D72322"/>
    <w:rsid w:val="00D729EE"/>
    <w:rsid w:val="00D739D3"/>
    <w:rsid w:val="00D73BF5"/>
    <w:rsid w:val="00D73E04"/>
    <w:rsid w:val="00D7586C"/>
    <w:rsid w:val="00D77E8F"/>
    <w:rsid w:val="00D81728"/>
    <w:rsid w:val="00D828C6"/>
    <w:rsid w:val="00D91FF4"/>
    <w:rsid w:val="00D95FC4"/>
    <w:rsid w:val="00D965FD"/>
    <w:rsid w:val="00D96DFE"/>
    <w:rsid w:val="00D96EEF"/>
    <w:rsid w:val="00D97993"/>
    <w:rsid w:val="00DA2F9C"/>
    <w:rsid w:val="00DB0143"/>
    <w:rsid w:val="00DB45CB"/>
    <w:rsid w:val="00DB7966"/>
    <w:rsid w:val="00DC1FAF"/>
    <w:rsid w:val="00DC59D1"/>
    <w:rsid w:val="00DC7D0F"/>
    <w:rsid w:val="00DD2B2D"/>
    <w:rsid w:val="00DD6641"/>
    <w:rsid w:val="00DE168E"/>
    <w:rsid w:val="00DF172F"/>
    <w:rsid w:val="00DF17BF"/>
    <w:rsid w:val="00DF2140"/>
    <w:rsid w:val="00DF36B4"/>
    <w:rsid w:val="00DF49FE"/>
    <w:rsid w:val="00DF56B6"/>
    <w:rsid w:val="00DF65DE"/>
    <w:rsid w:val="00E02368"/>
    <w:rsid w:val="00E05FFD"/>
    <w:rsid w:val="00E119C1"/>
    <w:rsid w:val="00E12A76"/>
    <w:rsid w:val="00E12DAF"/>
    <w:rsid w:val="00E15E99"/>
    <w:rsid w:val="00E1687C"/>
    <w:rsid w:val="00E17BCE"/>
    <w:rsid w:val="00E213C4"/>
    <w:rsid w:val="00E25C96"/>
    <w:rsid w:val="00E26C9C"/>
    <w:rsid w:val="00E3158C"/>
    <w:rsid w:val="00E32038"/>
    <w:rsid w:val="00E33CF9"/>
    <w:rsid w:val="00E35052"/>
    <w:rsid w:val="00E35309"/>
    <w:rsid w:val="00E356FE"/>
    <w:rsid w:val="00E41196"/>
    <w:rsid w:val="00E424D2"/>
    <w:rsid w:val="00E43455"/>
    <w:rsid w:val="00E43819"/>
    <w:rsid w:val="00E43EF1"/>
    <w:rsid w:val="00E4554E"/>
    <w:rsid w:val="00E45C23"/>
    <w:rsid w:val="00E51795"/>
    <w:rsid w:val="00E5277A"/>
    <w:rsid w:val="00E53B52"/>
    <w:rsid w:val="00E632AC"/>
    <w:rsid w:val="00E6491A"/>
    <w:rsid w:val="00E66762"/>
    <w:rsid w:val="00E721A9"/>
    <w:rsid w:val="00E74E1D"/>
    <w:rsid w:val="00E75D00"/>
    <w:rsid w:val="00E75F3B"/>
    <w:rsid w:val="00E76648"/>
    <w:rsid w:val="00E77E5A"/>
    <w:rsid w:val="00E83193"/>
    <w:rsid w:val="00E86C0D"/>
    <w:rsid w:val="00E87D96"/>
    <w:rsid w:val="00E90168"/>
    <w:rsid w:val="00E90A8F"/>
    <w:rsid w:val="00E90B4B"/>
    <w:rsid w:val="00E91452"/>
    <w:rsid w:val="00E93F89"/>
    <w:rsid w:val="00EA2030"/>
    <w:rsid w:val="00EA5D2D"/>
    <w:rsid w:val="00EB0BA5"/>
    <w:rsid w:val="00EB151B"/>
    <w:rsid w:val="00EB3128"/>
    <w:rsid w:val="00EB7F44"/>
    <w:rsid w:val="00EC189B"/>
    <w:rsid w:val="00EC2CC3"/>
    <w:rsid w:val="00EC3F6B"/>
    <w:rsid w:val="00EC5C8C"/>
    <w:rsid w:val="00EC7BD8"/>
    <w:rsid w:val="00EC7F67"/>
    <w:rsid w:val="00ED04DC"/>
    <w:rsid w:val="00ED0A07"/>
    <w:rsid w:val="00ED0B50"/>
    <w:rsid w:val="00ED1033"/>
    <w:rsid w:val="00ED3993"/>
    <w:rsid w:val="00ED4B30"/>
    <w:rsid w:val="00ED4E28"/>
    <w:rsid w:val="00ED5206"/>
    <w:rsid w:val="00ED72C1"/>
    <w:rsid w:val="00ED788C"/>
    <w:rsid w:val="00EE1CF4"/>
    <w:rsid w:val="00EE46FF"/>
    <w:rsid w:val="00EE4709"/>
    <w:rsid w:val="00EE6643"/>
    <w:rsid w:val="00EE71F1"/>
    <w:rsid w:val="00EF051A"/>
    <w:rsid w:val="00EF1336"/>
    <w:rsid w:val="00EF1E4E"/>
    <w:rsid w:val="00EF5356"/>
    <w:rsid w:val="00EF5447"/>
    <w:rsid w:val="00EF77D8"/>
    <w:rsid w:val="00F02D75"/>
    <w:rsid w:val="00F06E6E"/>
    <w:rsid w:val="00F11CFC"/>
    <w:rsid w:val="00F21756"/>
    <w:rsid w:val="00F218C8"/>
    <w:rsid w:val="00F22CEC"/>
    <w:rsid w:val="00F2489D"/>
    <w:rsid w:val="00F2502E"/>
    <w:rsid w:val="00F2743A"/>
    <w:rsid w:val="00F309E2"/>
    <w:rsid w:val="00F30EB0"/>
    <w:rsid w:val="00F35BA4"/>
    <w:rsid w:val="00F374DD"/>
    <w:rsid w:val="00F419EF"/>
    <w:rsid w:val="00F448F1"/>
    <w:rsid w:val="00F451D8"/>
    <w:rsid w:val="00F45366"/>
    <w:rsid w:val="00F479DE"/>
    <w:rsid w:val="00F50781"/>
    <w:rsid w:val="00F5116C"/>
    <w:rsid w:val="00F51EC5"/>
    <w:rsid w:val="00F53B86"/>
    <w:rsid w:val="00F54E71"/>
    <w:rsid w:val="00F556DC"/>
    <w:rsid w:val="00F56B6C"/>
    <w:rsid w:val="00F572C7"/>
    <w:rsid w:val="00F62237"/>
    <w:rsid w:val="00F62DC5"/>
    <w:rsid w:val="00F639C8"/>
    <w:rsid w:val="00F65DD1"/>
    <w:rsid w:val="00F70DB5"/>
    <w:rsid w:val="00F710F9"/>
    <w:rsid w:val="00F74621"/>
    <w:rsid w:val="00F817DE"/>
    <w:rsid w:val="00F90B52"/>
    <w:rsid w:val="00F91E50"/>
    <w:rsid w:val="00F91F7C"/>
    <w:rsid w:val="00F9337E"/>
    <w:rsid w:val="00F93958"/>
    <w:rsid w:val="00F94A95"/>
    <w:rsid w:val="00F97224"/>
    <w:rsid w:val="00FA1152"/>
    <w:rsid w:val="00FA186C"/>
    <w:rsid w:val="00FA1CDC"/>
    <w:rsid w:val="00FA1E7F"/>
    <w:rsid w:val="00FA2D02"/>
    <w:rsid w:val="00FA4D0F"/>
    <w:rsid w:val="00FA7965"/>
    <w:rsid w:val="00FB1155"/>
    <w:rsid w:val="00FB3B21"/>
    <w:rsid w:val="00FC4A99"/>
    <w:rsid w:val="00FC5334"/>
    <w:rsid w:val="00FC5379"/>
    <w:rsid w:val="00FC5574"/>
    <w:rsid w:val="00FC6EA1"/>
    <w:rsid w:val="00FD44FC"/>
    <w:rsid w:val="00FD5695"/>
    <w:rsid w:val="00FD7030"/>
    <w:rsid w:val="00FD7B44"/>
    <w:rsid w:val="00FE0E6E"/>
    <w:rsid w:val="00FE3160"/>
    <w:rsid w:val="00FE5536"/>
    <w:rsid w:val="00FE76EC"/>
    <w:rsid w:val="00FF0F47"/>
    <w:rsid w:val="00FF11D7"/>
    <w:rsid w:val="00FF157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AF9328"/>
  <w15:docId w15:val="{E2BAEBAB-C634-4EAA-A062-034D8B623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N" w:eastAsia="en-I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D6B46"/>
    <w:rPr>
      <w:sz w:val="24"/>
      <w:szCs w:val="24"/>
      <w:lang w:val="en-US" w:eastAsia="en-US"/>
    </w:rPr>
  </w:style>
  <w:style w:type="paragraph" w:styleId="Heading1">
    <w:name w:val="heading 1"/>
    <w:basedOn w:val="Normal"/>
    <w:next w:val="Normal"/>
    <w:qFormat/>
    <w:rsid w:val="00BE0B38"/>
    <w:pPr>
      <w:keepNext/>
      <w:numPr>
        <w:numId w:val="1"/>
      </w:numPr>
      <w:spacing w:before="240" w:after="80"/>
      <w:jc w:val="center"/>
      <w:outlineLvl w:val="0"/>
    </w:pPr>
    <w:rPr>
      <w:smallCaps/>
      <w:kern w:val="28"/>
      <w:sz w:val="20"/>
      <w:szCs w:val="20"/>
      <w:lang w:val="x-none" w:eastAsia="x-none"/>
    </w:rPr>
  </w:style>
  <w:style w:type="paragraph" w:styleId="Heading2">
    <w:name w:val="heading 2"/>
    <w:basedOn w:val="Normal"/>
    <w:next w:val="Normal"/>
    <w:qFormat/>
    <w:rsid w:val="00BE0B38"/>
    <w:pPr>
      <w:keepNext/>
      <w:numPr>
        <w:ilvl w:val="1"/>
        <w:numId w:val="1"/>
      </w:numPr>
      <w:spacing w:before="120" w:after="60"/>
      <w:outlineLvl w:val="1"/>
    </w:pPr>
    <w:rPr>
      <w:i/>
      <w:iCs/>
      <w:sz w:val="20"/>
      <w:szCs w:val="20"/>
      <w:lang w:val="x-none" w:eastAsia="x-none"/>
    </w:rPr>
  </w:style>
  <w:style w:type="paragraph" w:styleId="Heading3">
    <w:name w:val="heading 3"/>
    <w:basedOn w:val="Normal"/>
    <w:next w:val="Normal"/>
    <w:qFormat/>
    <w:rsid w:val="00BE0B38"/>
    <w:pPr>
      <w:keepNext/>
      <w:numPr>
        <w:ilvl w:val="2"/>
        <w:numId w:val="1"/>
      </w:numPr>
      <w:outlineLvl w:val="2"/>
    </w:pPr>
    <w:rPr>
      <w:i/>
      <w:iCs/>
      <w:sz w:val="20"/>
      <w:szCs w:val="20"/>
    </w:rPr>
  </w:style>
  <w:style w:type="paragraph" w:styleId="Heading4">
    <w:name w:val="heading 4"/>
    <w:basedOn w:val="Normal"/>
    <w:next w:val="Normal"/>
    <w:qFormat/>
    <w:rsid w:val="00BE0B38"/>
    <w:pPr>
      <w:keepNext/>
      <w:numPr>
        <w:ilvl w:val="3"/>
        <w:numId w:val="1"/>
      </w:numPr>
      <w:spacing w:before="240" w:after="60"/>
      <w:outlineLvl w:val="3"/>
    </w:pPr>
    <w:rPr>
      <w:i/>
      <w:iCs/>
      <w:sz w:val="18"/>
      <w:szCs w:val="18"/>
    </w:rPr>
  </w:style>
  <w:style w:type="paragraph" w:styleId="Heading5">
    <w:name w:val="heading 5"/>
    <w:basedOn w:val="Normal"/>
    <w:next w:val="Normal"/>
    <w:qFormat/>
    <w:rsid w:val="00BE0B38"/>
    <w:pPr>
      <w:numPr>
        <w:ilvl w:val="4"/>
        <w:numId w:val="1"/>
      </w:numPr>
      <w:spacing w:before="240" w:after="60"/>
      <w:outlineLvl w:val="4"/>
    </w:pPr>
    <w:rPr>
      <w:sz w:val="18"/>
      <w:szCs w:val="18"/>
    </w:rPr>
  </w:style>
  <w:style w:type="paragraph" w:styleId="Heading6">
    <w:name w:val="heading 6"/>
    <w:basedOn w:val="Normal"/>
    <w:next w:val="Normal"/>
    <w:qFormat/>
    <w:rsid w:val="00BE0B38"/>
    <w:pPr>
      <w:numPr>
        <w:ilvl w:val="5"/>
        <w:numId w:val="1"/>
      </w:numPr>
      <w:spacing w:before="240" w:after="60"/>
      <w:outlineLvl w:val="5"/>
    </w:pPr>
    <w:rPr>
      <w:i/>
      <w:iCs/>
      <w:sz w:val="16"/>
      <w:szCs w:val="16"/>
    </w:rPr>
  </w:style>
  <w:style w:type="paragraph" w:styleId="Heading7">
    <w:name w:val="heading 7"/>
    <w:basedOn w:val="Normal"/>
    <w:next w:val="Normal"/>
    <w:qFormat/>
    <w:rsid w:val="00BE0B38"/>
    <w:pPr>
      <w:numPr>
        <w:ilvl w:val="6"/>
        <w:numId w:val="1"/>
      </w:numPr>
      <w:spacing w:before="240" w:after="60"/>
      <w:outlineLvl w:val="6"/>
    </w:pPr>
    <w:rPr>
      <w:sz w:val="16"/>
      <w:szCs w:val="16"/>
    </w:rPr>
  </w:style>
  <w:style w:type="paragraph" w:styleId="Heading8">
    <w:name w:val="heading 8"/>
    <w:basedOn w:val="Normal"/>
    <w:next w:val="Normal"/>
    <w:qFormat/>
    <w:rsid w:val="00BE0B38"/>
    <w:pPr>
      <w:numPr>
        <w:ilvl w:val="7"/>
        <w:numId w:val="1"/>
      </w:numPr>
      <w:spacing w:before="240" w:after="60"/>
      <w:outlineLvl w:val="7"/>
    </w:pPr>
    <w:rPr>
      <w:i/>
      <w:iCs/>
      <w:sz w:val="16"/>
      <w:szCs w:val="16"/>
    </w:rPr>
  </w:style>
  <w:style w:type="paragraph" w:styleId="Heading9">
    <w:name w:val="heading 9"/>
    <w:basedOn w:val="Normal"/>
    <w:next w:val="Normal"/>
    <w:qFormat/>
    <w:rsid w:val="00BE0B38"/>
    <w:pPr>
      <w:numPr>
        <w:ilvl w:val="8"/>
        <w:numId w:val="1"/>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EA5D2D"/>
    <w:rPr>
      <w:color w:val="0000FF"/>
      <w:u w:val="single"/>
    </w:rPr>
  </w:style>
  <w:style w:type="paragraph" w:customStyle="1" w:styleId="DOP">
    <w:name w:val="DOP"/>
    <w:basedOn w:val="Normal"/>
    <w:rsid w:val="00015E73"/>
    <w:pPr>
      <w:spacing w:after="120"/>
    </w:pPr>
    <w:rPr>
      <w:rFonts w:ascii="Helvetica" w:hAnsi="Helvetica"/>
      <w:sz w:val="14"/>
      <w:szCs w:val="14"/>
    </w:rPr>
  </w:style>
  <w:style w:type="paragraph" w:customStyle="1" w:styleId="DOI">
    <w:name w:val="DOI"/>
    <w:basedOn w:val="Normal"/>
    <w:rsid w:val="00EC3F6B"/>
    <w:rPr>
      <w:i/>
      <w:sz w:val="12"/>
      <w:szCs w:val="12"/>
    </w:rPr>
  </w:style>
  <w:style w:type="paragraph" w:customStyle="1" w:styleId="Abstract">
    <w:name w:val="Abstract"/>
    <w:basedOn w:val="Normal"/>
    <w:link w:val="AbstractChar"/>
    <w:rsid w:val="00D26E50"/>
    <w:pPr>
      <w:spacing w:after="340" w:line="240" w:lineRule="exact"/>
      <w:ind w:right="1380"/>
      <w:jc w:val="both"/>
    </w:pPr>
    <w:rPr>
      <w:sz w:val="20"/>
      <w:szCs w:val="20"/>
    </w:rPr>
  </w:style>
  <w:style w:type="paragraph" w:customStyle="1" w:styleId="H5">
    <w:name w:val="H5"/>
    <w:basedOn w:val="Abstract"/>
    <w:link w:val="H5CharChar"/>
    <w:rsid w:val="00EC3F6B"/>
    <w:rPr>
      <w:rFonts w:ascii="Helvetica" w:hAnsi="Helvetica"/>
      <w:b/>
      <w:color w:val="00629B"/>
    </w:rPr>
  </w:style>
  <w:style w:type="character" w:customStyle="1" w:styleId="AbstractChar">
    <w:name w:val="Abstract Char"/>
    <w:link w:val="Abstract"/>
    <w:rsid w:val="00D26E50"/>
    <w:rPr>
      <w:lang w:val="en-US" w:eastAsia="en-US" w:bidi="ar-SA"/>
    </w:rPr>
  </w:style>
  <w:style w:type="character" w:customStyle="1" w:styleId="H5CharChar">
    <w:name w:val="H5 Char Char"/>
    <w:link w:val="H5"/>
    <w:rsid w:val="00EC3F6B"/>
    <w:rPr>
      <w:rFonts w:ascii="Helvetica" w:hAnsi="Helvetica"/>
      <w:b/>
      <w:color w:val="00629B"/>
      <w:lang w:val="en-US" w:eastAsia="en-US" w:bidi="ar-SA"/>
    </w:rPr>
  </w:style>
  <w:style w:type="paragraph" w:customStyle="1" w:styleId="IT">
    <w:name w:val="IT"/>
    <w:basedOn w:val="Normal"/>
    <w:rsid w:val="003B3FFE"/>
    <w:pPr>
      <w:autoSpaceDE w:val="0"/>
      <w:autoSpaceDN w:val="0"/>
      <w:adjustRightInd w:val="0"/>
      <w:spacing w:after="520"/>
      <w:ind w:right="1380"/>
    </w:pPr>
    <w:rPr>
      <w:rFonts w:cs="TimesLTStd-Roman"/>
      <w:sz w:val="20"/>
      <w:szCs w:val="20"/>
    </w:rPr>
  </w:style>
  <w:style w:type="paragraph" w:customStyle="1" w:styleId="PARA">
    <w:name w:val="PARA"/>
    <w:basedOn w:val="Normal"/>
    <w:rsid w:val="00EC3F6B"/>
    <w:pPr>
      <w:suppressAutoHyphens/>
      <w:autoSpaceDE w:val="0"/>
      <w:autoSpaceDN w:val="0"/>
      <w:adjustRightInd w:val="0"/>
      <w:spacing w:line="240" w:lineRule="exact"/>
      <w:jc w:val="both"/>
    </w:pPr>
    <w:rPr>
      <w:rFonts w:cs="TimesLTStd-Roman"/>
      <w:spacing w:val="-2"/>
      <w:sz w:val="20"/>
      <w:szCs w:val="20"/>
    </w:rPr>
  </w:style>
  <w:style w:type="paragraph" w:customStyle="1" w:styleId="PARAIndent">
    <w:name w:val="PARA_Indent"/>
    <w:basedOn w:val="PARA"/>
    <w:rsid w:val="009F494B"/>
    <w:pPr>
      <w:ind w:firstLine="200"/>
    </w:pPr>
  </w:style>
  <w:style w:type="character" w:customStyle="1" w:styleId="ITAL">
    <w:name w:val="ITAL"/>
    <w:rsid w:val="009F494B"/>
    <w:rPr>
      <w:i/>
    </w:rPr>
  </w:style>
  <w:style w:type="paragraph" w:customStyle="1" w:styleId="AU">
    <w:name w:val="AU"/>
    <w:basedOn w:val="Normal"/>
    <w:rsid w:val="00084BD2"/>
    <w:pPr>
      <w:spacing w:after="100"/>
      <w:ind w:right="1380"/>
    </w:pPr>
    <w:rPr>
      <w:rFonts w:ascii="Helvetica" w:hAnsi="Helvetica"/>
      <w:b/>
      <w:sz w:val="20"/>
      <w:szCs w:val="20"/>
    </w:rPr>
  </w:style>
  <w:style w:type="paragraph" w:customStyle="1" w:styleId="Aff">
    <w:name w:val="Aff"/>
    <w:basedOn w:val="Normal"/>
    <w:rsid w:val="003B3FFE"/>
    <w:pPr>
      <w:spacing w:after="40" w:line="140" w:lineRule="exact"/>
      <w:ind w:right="1380"/>
    </w:pPr>
    <w:rPr>
      <w:sz w:val="14"/>
    </w:rPr>
  </w:style>
  <w:style w:type="paragraph" w:customStyle="1" w:styleId="CA">
    <w:name w:val="CA"/>
    <w:basedOn w:val="Normal"/>
    <w:rsid w:val="00EC3F6B"/>
    <w:pPr>
      <w:spacing w:before="100" w:after="100"/>
      <w:ind w:right="1380"/>
    </w:pPr>
    <w:rPr>
      <w:sz w:val="15"/>
    </w:rPr>
  </w:style>
  <w:style w:type="paragraph" w:customStyle="1" w:styleId="PI">
    <w:name w:val="PI"/>
    <w:basedOn w:val="Normal"/>
    <w:rsid w:val="00084BD2"/>
    <w:pPr>
      <w:spacing w:after="540" w:line="180" w:lineRule="exact"/>
      <w:ind w:right="1600" w:firstLine="180"/>
    </w:pPr>
    <w:rPr>
      <w:sz w:val="15"/>
    </w:rPr>
  </w:style>
  <w:style w:type="paragraph" w:customStyle="1" w:styleId="PaperTitle">
    <w:name w:val="Paper Title"/>
    <w:basedOn w:val="Normal"/>
    <w:rsid w:val="00105925"/>
    <w:pPr>
      <w:spacing w:before="480" w:after="300"/>
    </w:pPr>
    <w:rPr>
      <w:rFonts w:ascii="Helvetica" w:hAnsi="Helvetica"/>
      <w:b/>
      <w:color w:val="00629B"/>
      <w:sz w:val="44"/>
      <w:szCs w:val="44"/>
    </w:rPr>
  </w:style>
  <w:style w:type="paragraph" w:customStyle="1" w:styleId="H1">
    <w:name w:val="H1"/>
    <w:basedOn w:val="Normal"/>
    <w:rsid w:val="00105925"/>
    <w:pPr>
      <w:autoSpaceDE w:val="0"/>
      <w:autoSpaceDN w:val="0"/>
      <w:adjustRightInd w:val="0"/>
      <w:spacing w:before="240"/>
    </w:pPr>
    <w:rPr>
      <w:rFonts w:ascii="Helvetica" w:hAnsi="Helvetica" w:cs="FormataOTF-Bold"/>
      <w:b/>
      <w:bCs/>
      <w:color w:val="00629B"/>
      <w:sz w:val="18"/>
      <w:szCs w:val="18"/>
    </w:rPr>
  </w:style>
  <w:style w:type="numbering" w:customStyle="1" w:styleId="H2Restart">
    <w:name w:val="H2_Restart"/>
    <w:rsid w:val="00ED4E28"/>
    <w:pPr>
      <w:numPr>
        <w:numId w:val="13"/>
      </w:numPr>
    </w:pPr>
  </w:style>
  <w:style w:type="paragraph" w:customStyle="1" w:styleId="Equation">
    <w:name w:val="Equation"/>
    <w:basedOn w:val="Normal"/>
    <w:rsid w:val="00680E60"/>
    <w:pPr>
      <w:tabs>
        <w:tab w:val="left" w:pos="4584"/>
      </w:tabs>
      <w:autoSpaceDE w:val="0"/>
      <w:autoSpaceDN w:val="0"/>
      <w:adjustRightInd w:val="0"/>
      <w:spacing w:before="120" w:after="120"/>
      <w:ind w:left="1600"/>
    </w:pPr>
    <w:rPr>
      <w:rFonts w:cs="MTSYN"/>
      <w:i/>
      <w:sz w:val="20"/>
      <w:szCs w:val="20"/>
    </w:rPr>
  </w:style>
  <w:style w:type="paragraph" w:customStyle="1" w:styleId="FigCaption">
    <w:name w:val="Fig Caption"/>
    <w:basedOn w:val="Normal"/>
    <w:rsid w:val="00443AB2"/>
    <w:pPr>
      <w:numPr>
        <w:numId w:val="5"/>
      </w:numPr>
      <w:autoSpaceDE w:val="0"/>
      <w:autoSpaceDN w:val="0"/>
      <w:adjustRightInd w:val="0"/>
      <w:spacing w:before="140"/>
    </w:pPr>
    <w:rPr>
      <w:rFonts w:ascii="Helvetica" w:hAnsi="Helvetica" w:cs="FormataOTF-Bold"/>
      <w:b/>
      <w:bCs/>
      <w:sz w:val="14"/>
      <w:szCs w:val="14"/>
    </w:rPr>
  </w:style>
  <w:style w:type="character" w:customStyle="1" w:styleId="CaptionColor">
    <w:name w:val="Caption Color"/>
    <w:rsid w:val="00B06847"/>
    <w:rPr>
      <w:rFonts w:ascii="Helvetica" w:hAnsi="Helvetica" w:cs="FormataOTF-Bold"/>
      <w:bCs/>
      <w:color w:val="00629B"/>
      <w:sz w:val="14"/>
      <w:szCs w:val="14"/>
    </w:rPr>
  </w:style>
  <w:style w:type="paragraph" w:customStyle="1" w:styleId="H3">
    <w:name w:val="H3"/>
    <w:basedOn w:val="Normal"/>
    <w:rsid w:val="006817D9"/>
    <w:pPr>
      <w:numPr>
        <w:numId w:val="6"/>
      </w:numPr>
      <w:tabs>
        <w:tab w:val="clear" w:pos="320"/>
        <w:tab w:val="left" w:pos="240"/>
      </w:tabs>
      <w:autoSpaceDE w:val="0"/>
      <w:autoSpaceDN w:val="0"/>
      <w:adjustRightInd w:val="0"/>
      <w:spacing w:before="80"/>
    </w:pPr>
    <w:rPr>
      <w:rFonts w:ascii="Helvetica" w:hAnsi="Helvetica" w:cs="FormataOTF-Reg"/>
      <w:caps/>
      <w:color w:val="58595B"/>
      <w:sz w:val="18"/>
      <w:szCs w:val="18"/>
    </w:rPr>
  </w:style>
  <w:style w:type="paragraph" w:customStyle="1" w:styleId="TableCaption">
    <w:name w:val="Table Caption"/>
    <w:basedOn w:val="Normal"/>
    <w:rsid w:val="00231E14"/>
    <w:pPr>
      <w:autoSpaceDE w:val="0"/>
      <w:autoSpaceDN w:val="0"/>
      <w:adjustRightInd w:val="0"/>
      <w:spacing w:before="320" w:after="220"/>
    </w:pPr>
    <w:rPr>
      <w:rFonts w:ascii="Helvetica" w:hAnsi="Helvetica" w:cs="FormataOTFMd"/>
      <w:b/>
      <w:sz w:val="14"/>
      <w:szCs w:val="14"/>
    </w:rPr>
  </w:style>
  <w:style w:type="paragraph" w:customStyle="1" w:styleId="H4">
    <w:name w:val="H4"/>
    <w:basedOn w:val="Normal"/>
    <w:rsid w:val="00105925"/>
    <w:pPr>
      <w:autoSpaceDE w:val="0"/>
      <w:autoSpaceDN w:val="0"/>
      <w:adjustRightInd w:val="0"/>
      <w:spacing w:before="480"/>
    </w:pPr>
    <w:rPr>
      <w:rFonts w:ascii="Helvetica" w:hAnsi="Helvetica" w:cs="FormataOTF-Italic"/>
      <w:i/>
      <w:iCs/>
      <w:color w:val="58595B"/>
      <w:sz w:val="18"/>
      <w:szCs w:val="18"/>
    </w:rPr>
  </w:style>
  <w:style w:type="paragraph" w:customStyle="1" w:styleId="H1ListNoSpace">
    <w:name w:val="H1_List (No Space)"/>
    <w:basedOn w:val="H1"/>
    <w:qFormat/>
    <w:rsid w:val="00F448F1"/>
    <w:pPr>
      <w:numPr>
        <w:numId w:val="4"/>
      </w:numPr>
      <w:spacing w:before="0"/>
    </w:pPr>
  </w:style>
  <w:style w:type="paragraph" w:customStyle="1" w:styleId="Ref1">
    <w:name w:val="Ref_1"/>
    <w:basedOn w:val="Normal"/>
    <w:rsid w:val="00105925"/>
    <w:pPr>
      <w:autoSpaceDE w:val="0"/>
      <w:autoSpaceDN w:val="0"/>
      <w:adjustRightInd w:val="0"/>
      <w:spacing w:before="40"/>
      <w:ind w:left="300" w:hanging="260"/>
      <w:jc w:val="both"/>
    </w:pPr>
    <w:rPr>
      <w:rFonts w:cs="TimesLTStd-Roman"/>
      <w:sz w:val="15"/>
      <w:szCs w:val="15"/>
    </w:rPr>
  </w:style>
  <w:style w:type="paragraph" w:customStyle="1" w:styleId="Ref">
    <w:name w:val="Ref"/>
    <w:basedOn w:val="Ref1"/>
    <w:rsid w:val="007573E5"/>
    <w:pPr>
      <w:spacing w:before="0"/>
    </w:pPr>
  </w:style>
  <w:style w:type="paragraph" w:customStyle="1" w:styleId="AUBios">
    <w:name w:val="AU_Bios"/>
    <w:basedOn w:val="Normal"/>
    <w:rsid w:val="00323E56"/>
    <w:pPr>
      <w:autoSpaceDE w:val="0"/>
      <w:autoSpaceDN w:val="0"/>
      <w:adjustRightInd w:val="0"/>
      <w:spacing w:before="1340"/>
      <w:jc w:val="both"/>
    </w:pPr>
    <w:rPr>
      <w:rFonts w:cs="TimesLTStd-Roman"/>
      <w:sz w:val="16"/>
      <w:szCs w:val="16"/>
    </w:rPr>
  </w:style>
  <w:style w:type="character" w:customStyle="1" w:styleId="AUBiosbd">
    <w:name w:val="AU_Bios bd"/>
    <w:rsid w:val="00382E5B"/>
    <w:rPr>
      <w:rFonts w:ascii="Helvetica" w:hAnsi="Helvetica" w:cs="FormataOTFMd"/>
      <w:b/>
    </w:rPr>
  </w:style>
  <w:style w:type="paragraph" w:styleId="Header">
    <w:name w:val="header"/>
    <w:basedOn w:val="Normal"/>
    <w:rsid w:val="00E721A9"/>
    <w:pPr>
      <w:tabs>
        <w:tab w:val="center" w:pos="4320"/>
        <w:tab w:val="right" w:pos="8640"/>
      </w:tabs>
    </w:pPr>
  </w:style>
  <w:style w:type="paragraph" w:styleId="Footer">
    <w:name w:val="footer"/>
    <w:basedOn w:val="Normal"/>
    <w:rsid w:val="00E721A9"/>
    <w:pPr>
      <w:tabs>
        <w:tab w:val="center" w:pos="4320"/>
        <w:tab w:val="right" w:pos="8640"/>
      </w:tabs>
    </w:pPr>
  </w:style>
  <w:style w:type="character" w:customStyle="1" w:styleId="SuperScript">
    <w:name w:val="Super Script"/>
    <w:rsid w:val="00947BF1"/>
    <w:rPr>
      <w:vertAlign w:val="superscript"/>
    </w:rPr>
  </w:style>
  <w:style w:type="paragraph" w:customStyle="1" w:styleId="PINoSpace">
    <w:name w:val="PI_No Space"/>
    <w:basedOn w:val="PI"/>
    <w:rsid w:val="00084BD2"/>
    <w:pPr>
      <w:spacing w:after="0"/>
    </w:pPr>
  </w:style>
  <w:style w:type="paragraph" w:customStyle="1" w:styleId="Text">
    <w:name w:val="Text"/>
    <w:basedOn w:val="Normal"/>
    <w:rsid w:val="00486E60"/>
    <w:pPr>
      <w:widowControl w:val="0"/>
      <w:spacing w:line="252" w:lineRule="auto"/>
      <w:ind w:firstLine="202"/>
      <w:jc w:val="both"/>
    </w:pPr>
    <w:rPr>
      <w:sz w:val="20"/>
      <w:szCs w:val="20"/>
    </w:rPr>
  </w:style>
  <w:style w:type="paragraph" w:customStyle="1" w:styleId="H3Space">
    <w:name w:val="H3_Space"/>
    <w:basedOn w:val="H3"/>
    <w:rsid w:val="00A21E81"/>
    <w:pPr>
      <w:spacing w:before="260"/>
    </w:pPr>
  </w:style>
  <w:style w:type="character" w:customStyle="1" w:styleId="BodyText2">
    <w:name w:val="Body Text2"/>
    <w:rsid w:val="00ED72C1"/>
    <w:rPr>
      <w:rFonts w:ascii="Verdana" w:hAnsi="Verdana" w:cs="Verdana"/>
      <w:color w:val="000000"/>
      <w:sz w:val="22"/>
      <w:szCs w:val="22"/>
    </w:rPr>
  </w:style>
  <w:style w:type="paragraph" w:styleId="FootnoteText">
    <w:name w:val="footnote text"/>
    <w:basedOn w:val="Normal"/>
    <w:link w:val="FootnoteTextChar"/>
    <w:semiHidden/>
    <w:rsid w:val="00856CFF"/>
    <w:pPr>
      <w:ind w:firstLine="202"/>
      <w:jc w:val="both"/>
    </w:pPr>
    <w:rPr>
      <w:sz w:val="16"/>
      <w:szCs w:val="16"/>
      <w:lang w:val="x-none" w:eastAsia="x-none"/>
    </w:rPr>
  </w:style>
  <w:style w:type="paragraph" w:customStyle="1" w:styleId="TableTitle">
    <w:name w:val="Table Title"/>
    <w:basedOn w:val="Normal"/>
    <w:rsid w:val="00856CFF"/>
    <w:pPr>
      <w:jc w:val="center"/>
    </w:pPr>
    <w:rPr>
      <w:smallCaps/>
      <w:sz w:val="16"/>
      <w:szCs w:val="16"/>
    </w:rPr>
  </w:style>
  <w:style w:type="character" w:customStyle="1" w:styleId="FootnoteTextChar">
    <w:name w:val="Footnote Text Char"/>
    <w:link w:val="FootnoteText"/>
    <w:semiHidden/>
    <w:rsid w:val="00856CFF"/>
    <w:rPr>
      <w:sz w:val="16"/>
      <w:szCs w:val="16"/>
      <w:lang w:val="x-none" w:eastAsia="x-none" w:bidi="ar-SA"/>
    </w:rPr>
  </w:style>
  <w:style w:type="paragraph" w:customStyle="1" w:styleId="H2AfterH1">
    <w:name w:val="H2_After H1"/>
    <w:rsid w:val="00A06892"/>
    <w:pPr>
      <w:numPr>
        <w:numId w:val="37"/>
      </w:numPr>
      <w:spacing w:before="120"/>
    </w:pPr>
    <w:rPr>
      <w:rFonts w:ascii="Helvetica" w:hAnsi="Helvetica" w:cs="FormataOTFMdIt"/>
      <w:b/>
      <w:i/>
      <w:caps/>
      <w:color w:val="58595B"/>
      <w:sz w:val="18"/>
      <w:szCs w:val="18"/>
      <w:lang w:val="en-US" w:eastAsia="en-US"/>
    </w:rPr>
  </w:style>
  <w:style w:type="character" w:customStyle="1" w:styleId="bodytype">
    <w:name w:val="body type"/>
    <w:rsid w:val="00457310"/>
    <w:rPr>
      <w:rFonts w:ascii="Formata-Regular" w:hAnsi="Formata-Regular" w:cs="Formata-Regular"/>
      <w:color w:val="000000"/>
      <w:sz w:val="22"/>
      <w:szCs w:val="22"/>
    </w:rPr>
  </w:style>
  <w:style w:type="paragraph" w:customStyle="1" w:styleId="Style1">
    <w:name w:val="Style1"/>
    <w:basedOn w:val="Normal"/>
    <w:link w:val="Style1Char"/>
    <w:qFormat/>
    <w:rsid w:val="00457310"/>
    <w:pPr>
      <w:keepNext/>
      <w:spacing w:before="240" w:after="80"/>
      <w:jc w:val="center"/>
      <w:outlineLvl w:val="0"/>
    </w:pPr>
    <w:rPr>
      <w:smallCaps/>
      <w:kern w:val="28"/>
      <w:sz w:val="20"/>
      <w:szCs w:val="20"/>
      <w:lang w:val="x-none" w:eastAsia="x-none"/>
    </w:rPr>
  </w:style>
  <w:style w:type="character" w:customStyle="1" w:styleId="Style1Char">
    <w:name w:val="Style1 Char"/>
    <w:link w:val="Style1"/>
    <w:rsid w:val="00457310"/>
    <w:rPr>
      <w:smallCaps/>
      <w:kern w:val="28"/>
      <w:lang w:val="x-none" w:eastAsia="x-none" w:bidi="ar-SA"/>
    </w:rPr>
  </w:style>
  <w:style w:type="character" w:styleId="FootnoteReference">
    <w:name w:val="footnote reference"/>
    <w:semiHidden/>
    <w:rsid w:val="001C597C"/>
    <w:rPr>
      <w:vertAlign w:val="superscript"/>
    </w:rPr>
  </w:style>
  <w:style w:type="paragraph" w:customStyle="1" w:styleId="References">
    <w:name w:val="References"/>
    <w:basedOn w:val="Normal"/>
    <w:rsid w:val="0014141F"/>
    <w:pPr>
      <w:numPr>
        <w:numId w:val="3"/>
      </w:numPr>
      <w:ind w:left="360"/>
      <w:jc w:val="both"/>
    </w:pPr>
    <w:rPr>
      <w:sz w:val="16"/>
      <w:szCs w:val="16"/>
    </w:rPr>
  </w:style>
  <w:style w:type="paragraph" w:customStyle="1" w:styleId="AUBiosNoSpace">
    <w:name w:val="AU_Bios_No Space"/>
    <w:basedOn w:val="AUBios"/>
    <w:rsid w:val="006A0B53"/>
    <w:pPr>
      <w:spacing w:before="0"/>
      <w:ind w:firstLine="180"/>
    </w:pPr>
  </w:style>
  <w:style w:type="paragraph" w:customStyle="1" w:styleId="FigureCaption">
    <w:name w:val="Figure Caption"/>
    <w:basedOn w:val="Normal"/>
    <w:rsid w:val="0003253A"/>
    <w:pPr>
      <w:jc w:val="both"/>
    </w:pPr>
    <w:rPr>
      <w:sz w:val="16"/>
      <w:szCs w:val="16"/>
    </w:rPr>
  </w:style>
  <w:style w:type="paragraph" w:customStyle="1" w:styleId="H1ListSpace">
    <w:name w:val="H1_List (Space)"/>
    <w:basedOn w:val="H1ListNoSpace"/>
    <w:rsid w:val="009A7E35"/>
    <w:pPr>
      <w:spacing w:before="240"/>
      <w:ind w:left="280" w:hanging="280"/>
    </w:pPr>
    <w:rPr>
      <w:rFonts w:cs="Times New Roman"/>
      <w:szCs w:val="20"/>
    </w:rPr>
  </w:style>
  <w:style w:type="paragraph" w:customStyle="1" w:styleId="H2First">
    <w:name w:val="H2_First"/>
    <w:basedOn w:val="Normal"/>
    <w:qFormat/>
    <w:rsid w:val="006D5343"/>
    <w:pPr>
      <w:numPr>
        <w:numId w:val="18"/>
      </w:numPr>
      <w:autoSpaceDE w:val="0"/>
      <w:autoSpaceDN w:val="0"/>
      <w:adjustRightInd w:val="0"/>
      <w:spacing w:before="260"/>
      <w:ind w:left="0" w:firstLine="0"/>
    </w:pPr>
    <w:rPr>
      <w:rFonts w:ascii="Helvetica" w:hAnsi="Helvetica" w:cs="FormataOTFMdIt"/>
      <w:b/>
      <w:i/>
      <w:color w:val="58595B"/>
      <w:sz w:val="18"/>
      <w:szCs w:val="18"/>
    </w:rPr>
  </w:style>
  <w:style w:type="paragraph" w:customStyle="1" w:styleId="H2ConSpaceBefore12pt">
    <w:name w:val="H2_Con Space(Before: 12 pt)"/>
    <w:basedOn w:val="H2AfterH1"/>
    <w:rsid w:val="00440B9E"/>
    <w:pPr>
      <w:numPr>
        <w:numId w:val="15"/>
      </w:numPr>
      <w:spacing w:before="260"/>
    </w:pPr>
    <w:rPr>
      <w:rFonts w:cs="Times New Roman"/>
      <w:bCs/>
      <w:iCs/>
      <w:szCs w:val="20"/>
    </w:rPr>
  </w:style>
  <w:style w:type="paragraph" w:customStyle="1" w:styleId="H2ConNoSpace">
    <w:name w:val="H2_Con NoSpace"/>
    <w:rsid w:val="0033583E"/>
    <w:pPr>
      <w:numPr>
        <w:numId w:val="9"/>
      </w:numPr>
    </w:pPr>
    <w:rPr>
      <w:rFonts w:ascii="Helvetica" w:hAnsi="Helvetica"/>
      <w:b/>
      <w:bCs/>
      <w:i/>
      <w:iCs/>
      <w:color w:val="58595B"/>
      <w:sz w:val="18"/>
      <w:lang w:val="en-US" w:eastAsia="en-US"/>
    </w:rPr>
  </w:style>
  <w:style w:type="paragraph" w:customStyle="1" w:styleId="StyleH2ConNoSpace">
    <w:name w:val="Style H2_Con NoSpace"/>
    <w:basedOn w:val="H2ConSpaceBefore12pt"/>
    <w:rsid w:val="00BC57BB"/>
    <w:pPr>
      <w:spacing w:before="0"/>
    </w:pPr>
  </w:style>
  <w:style w:type="numbering" w:customStyle="1" w:styleId="H2afterH1New">
    <w:name w:val="H2 after H1_New"/>
    <w:rsid w:val="0033583E"/>
    <w:pPr>
      <w:numPr>
        <w:numId w:val="10"/>
      </w:numPr>
    </w:pPr>
  </w:style>
  <w:style w:type="paragraph" w:customStyle="1" w:styleId="H2Cont">
    <w:name w:val="H2_Cont"/>
    <w:rsid w:val="007C4B89"/>
    <w:pPr>
      <w:numPr>
        <w:numId w:val="40"/>
      </w:numPr>
      <w:spacing w:before="260"/>
    </w:pPr>
    <w:rPr>
      <w:rFonts w:ascii="Helvetica" w:hAnsi="Helvetica"/>
      <w:b/>
      <w:bCs/>
      <w:i/>
      <w:iCs/>
      <w:color w:val="58595B"/>
      <w:sz w:val="18"/>
      <w:lang w:val="en-US" w:eastAsia="en-US"/>
    </w:rPr>
  </w:style>
  <w:style w:type="paragraph" w:customStyle="1" w:styleId="H2ContNoSpace">
    <w:name w:val="H2_Cont (No Space)"/>
    <w:basedOn w:val="H2AfterH1"/>
    <w:rsid w:val="00332A2D"/>
    <w:pPr>
      <w:spacing w:before="0"/>
    </w:pPr>
    <w:rPr>
      <w:rFonts w:cs="Times New Roman"/>
      <w:bCs/>
      <w:iCs/>
      <w:szCs w:val="20"/>
    </w:rPr>
  </w:style>
  <w:style w:type="paragraph" w:styleId="BalloonText">
    <w:name w:val="Balloon Text"/>
    <w:basedOn w:val="Normal"/>
    <w:link w:val="BalloonTextChar"/>
    <w:rsid w:val="00B43D5E"/>
    <w:rPr>
      <w:rFonts w:ascii="Tahoma" w:hAnsi="Tahoma" w:cs="Tahoma"/>
      <w:sz w:val="16"/>
      <w:szCs w:val="16"/>
    </w:rPr>
  </w:style>
  <w:style w:type="character" w:customStyle="1" w:styleId="BalloonTextChar">
    <w:name w:val="Balloon Text Char"/>
    <w:basedOn w:val="DefaultParagraphFont"/>
    <w:link w:val="BalloonText"/>
    <w:rsid w:val="00B43D5E"/>
    <w:rPr>
      <w:rFonts w:ascii="Tahoma" w:hAnsi="Tahoma" w:cs="Tahoma"/>
      <w:sz w:val="16"/>
      <w:szCs w:val="16"/>
      <w:lang w:val="en-US" w:eastAsia="en-US"/>
    </w:rPr>
  </w:style>
  <w:style w:type="character" w:styleId="CommentReference">
    <w:name w:val="annotation reference"/>
    <w:basedOn w:val="DefaultParagraphFont"/>
    <w:semiHidden/>
    <w:unhideWhenUsed/>
    <w:rsid w:val="006621CC"/>
    <w:rPr>
      <w:sz w:val="16"/>
      <w:szCs w:val="16"/>
    </w:rPr>
  </w:style>
  <w:style w:type="paragraph" w:styleId="CommentText">
    <w:name w:val="annotation text"/>
    <w:basedOn w:val="Normal"/>
    <w:link w:val="CommentTextChar"/>
    <w:unhideWhenUsed/>
    <w:rsid w:val="006621CC"/>
    <w:rPr>
      <w:sz w:val="20"/>
      <w:szCs w:val="20"/>
    </w:rPr>
  </w:style>
  <w:style w:type="character" w:customStyle="1" w:styleId="CommentTextChar">
    <w:name w:val="Comment Text Char"/>
    <w:basedOn w:val="DefaultParagraphFont"/>
    <w:link w:val="CommentText"/>
    <w:rsid w:val="006621CC"/>
    <w:rPr>
      <w:lang w:val="en-US" w:eastAsia="en-US"/>
    </w:rPr>
  </w:style>
  <w:style w:type="paragraph" w:styleId="CommentSubject">
    <w:name w:val="annotation subject"/>
    <w:basedOn w:val="CommentText"/>
    <w:next w:val="CommentText"/>
    <w:link w:val="CommentSubjectChar"/>
    <w:semiHidden/>
    <w:unhideWhenUsed/>
    <w:rsid w:val="006621CC"/>
    <w:rPr>
      <w:b/>
      <w:bCs/>
    </w:rPr>
  </w:style>
  <w:style w:type="character" w:customStyle="1" w:styleId="CommentSubjectChar">
    <w:name w:val="Comment Subject Char"/>
    <w:basedOn w:val="CommentTextChar"/>
    <w:link w:val="CommentSubject"/>
    <w:semiHidden/>
    <w:rsid w:val="006621CC"/>
    <w:rPr>
      <w:b/>
      <w:bCs/>
      <w:lang w:val="en-US" w:eastAsia="en-US"/>
    </w:rPr>
  </w:style>
  <w:style w:type="paragraph" w:customStyle="1" w:styleId="REFBUL">
    <w:name w:val="REF_BUL"/>
    <w:basedOn w:val="PARA"/>
    <w:qFormat/>
    <w:rsid w:val="001C495F"/>
    <w:pPr>
      <w:numPr>
        <w:numId w:val="42"/>
      </w:numPr>
      <w:ind w:left="480" w:hanging="240"/>
    </w:pPr>
    <w:rPr>
      <w:i/>
    </w:rPr>
  </w:style>
  <w:style w:type="paragraph" w:customStyle="1" w:styleId="REFTxt">
    <w:name w:val="REF_Txt"/>
    <w:basedOn w:val="Normal"/>
    <w:qFormat/>
    <w:rsid w:val="001C495F"/>
    <w:pPr>
      <w:ind w:left="480"/>
      <w:jc w:val="both"/>
    </w:pPr>
    <w:rPr>
      <w:sz w:val="20"/>
      <w:szCs w:val="16"/>
    </w:rPr>
  </w:style>
  <w:style w:type="paragraph" w:customStyle="1" w:styleId="StyleREFTxt8ptItalic">
    <w:name w:val="Style REF_Txt + 8 pt Italic"/>
    <w:basedOn w:val="REFTxt"/>
    <w:rsid w:val="009116B8"/>
    <w:rPr>
      <w:i/>
      <w:iCs/>
    </w:rPr>
  </w:style>
  <w:style w:type="character" w:styleId="Emphasis">
    <w:name w:val="Emphasis"/>
    <w:basedOn w:val="DefaultParagraphFont"/>
    <w:uiPriority w:val="20"/>
    <w:qFormat/>
    <w:rsid w:val="00505C6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eee.org/publications/services/thesaurus.html" TargetMode="Externa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oleObject" Target="embeddings/oleObject1.bin"/><Relationship Id="rId25"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image" Target="media/image4.wmf"/><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verleaf.com/blog/278-how-to-use-overleaf-with-ieee-collabratec-your-quick-guide-to-getting-started" TargetMode="External"/><Relationship Id="rId24" Type="http://schemas.openxmlformats.org/officeDocument/2006/relationships/image" Target="media/image7.tiff"/><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6.tiff"/><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image" Target="media/image5.tiff"/><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A7A4D4-BF06-4BA0-A3D8-63287419C8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5623</Words>
  <Characters>32056</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Date of publication xxxx 00, 0000, date of current version xxxx 00, 0000</vt:lpstr>
    </vt:vector>
  </TitlesOfParts>
  <Company>Hewlett-Packard Company</Company>
  <LinksUpToDate>false</LinksUpToDate>
  <CharactersWithSpaces>37604</CharactersWithSpaces>
  <SharedDoc>false</SharedDoc>
  <HLinks>
    <vt:vector size="12" baseType="variant">
      <vt:variant>
        <vt:i4>2555906</vt:i4>
      </vt:variant>
      <vt:variant>
        <vt:i4>6</vt:i4>
      </vt:variant>
      <vt:variant>
        <vt:i4>0</vt:i4>
      </vt:variant>
      <vt:variant>
        <vt:i4>5</vt:i4>
      </vt:variant>
      <vt:variant>
        <vt:lpwstr>mailto:graphics@ieee.org</vt:lpwstr>
      </vt:variant>
      <vt:variant>
        <vt:lpwstr/>
      </vt:variant>
      <vt:variant>
        <vt:i4>7405602</vt:i4>
      </vt:variant>
      <vt:variant>
        <vt:i4>3</vt:i4>
      </vt:variant>
      <vt:variant>
        <vt:i4>0</vt:i4>
      </vt:variant>
      <vt:variant>
        <vt:i4>5</vt:i4>
      </vt:variant>
      <vt:variant>
        <vt:lpwstr>http://graphicsqc.ieee.org/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Permission Drift in Agentic Systems: A Runtime Control-Plane Synthesis</dc:title>
  <dc:creator>Exzil Calanza</dc:creator>
  <cp:lastModifiedBy>Eric Charbonneau</cp:lastModifiedBy>
  <cp:revision>4</cp:revision>
  <cp:lastPrinted>2022-11-11T11:49:00Z</cp:lastPrinted>
  <dcterms:created xsi:type="dcterms:W3CDTF">2024-04-29T14:52:00Z</dcterms:created>
  <dcterms:modified xsi:type="dcterms:W3CDTF">2024-04-30T12:36:00Z</dcterms:modified>
  <dc:subject>Technical synthesis</dc:subject>
  <cp:keywords>¢â‚¬â€ permission drift; agent governance; control plane; capability scoping; policy enforcement; runtime guardrails</cp:keywords>
  <dc:description>Independent IEEE-style site preprint; not an IEEE submission or publication.</dc:description>
</cp:coreProperties>
</file>