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20" w:after="240"/>
        <w:jc w:val="center"/>
      </w:pPr>
      <w:r>
        <w:rPr>
          <w:rFonts w:ascii="Calibri" w:hAnsi="Calibri"/>
          <w:b/>
          <w:color w:val="2E74B5"/>
          <w:sz w:val="21"/>
        </w:rPr>
        <w:t>INDEPENDENT RESEARCH PREPRINT</w:t>
      </w:r>
    </w:p>
    <w:p>
      <w:pPr>
        <w:spacing w:before="560" w:after="200"/>
        <w:jc w:val="center"/>
      </w:pPr>
      <w:r>
        <w:rPr>
          <w:rFonts w:ascii="Calibri" w:hAnsi="Calibri"/>
          <w:b/>
          <w:color w:val="0B2545"/>
          <w:sz w:val="56"/>
        </w:rPr>
        <w:t>Environment Controls for Accessibility-Tree Node-Count Benchmarks</w:t>
      </w:r>
    </w:p>
    <w:p>
      <w:pPr>
        <w:spacing w:after="480"/>
        <w:jc w:val="center"/>
      </w:pPr>
      <w:r>
        <w:rPr>
          <w:rFonts w:ascii="Calibri" w:hAnsi="Calibri"/>
          <w:color w:val="1F4D78"/>
          <w:sz w:val="30"/>
        </w:rPr>
        <w:t>A two-host Chrome DevTools Protocol field study</w:t>
      </w:r>
    </w:p>
    <w:p>
      <w:pPr>
        <w:spacing w:after="80"/>
        <w:jc w:val="center"/>
      </w:pPr>
      <w:r>
        <w:rPr>
          <w:rFonts w:ascii="Calibri" w:hAnsi="Calibri"/>
          <w:b/>
          <w:color w:val="111827"/>
          <w:sz w:val="24"/>
        </w:rPr>
        <w:t>Exzil Calanza</w:t>
      </w:r>
    </w:p>
    <w:p>
      <w:pPr>
        <w:spacing w:after="80"/>
        <w:jc w:val="center"/>
      </w:pPr>
      <w:r>
        <w:rPr>
          <w:rFonts w:ascii="Calibri" w:hAnsi="Calibri"/>
          <w:b w:val="0"/>
          <w:color w:val="55606E"/>
          <w:sz w:val="20"/>
        </w:rPr>
        <w:t>Independent Researcher and Software Builder, Iloilo City, Philippines</w:t>
      </w:r>
    </w:p>
    <w:p>
      <w:pPr>
        <w:spacing w:after="80"/>
        <w:jc w:val="center"/>
      </w:pPr>
      <w:r>
        <w:rPr>
          <w:rFonts w:ascii="Calibri" w:hAnsi="Calibri"/>
          <w:b w:val="0"/>
          <w:color w:val="55606E"/>
          <w:sz w:val="20"/>
        </w:rPr>
        <w:t>23 August 2026 | Version 1.0</w:t>
      </w:r>
    </w:p>
    <w:p>
      <w:pPr>
        <w:spacing w:after="240"/>
      </w:pPr>
    </w:p>
    <w:p>
      <w:pPr>
        <w:spacing w:before="80" w:after="0"/>
        <w:ind w:left="200" w:right="200"/>
        <w:shd w:fill="F4F6F9"/>
        <w:pBdr>
          <w:top w:val="single" w:sz="6" w:space="6" w:color="D7E3F4"/>
          <w:left w:val="single" w:sz="6" w:space="6" w:color="D7E3F4"/>
          <w:bottom w:val="single" w:sz="6" w:space="6" w:color="D7E3F4"/>
          <w:right w:val="single" w:sz="6" w:space="6" w:color="D7E3F4"/>
        </w:pBdr>
      </w:pPr>
      <w:r>
        <w:rPr>
          <w:rFonts w:ascii="Calibri" w:hAnsi="Calibri"/>
          <w:b/>
          <w:color w:val="0B2545"/>
          <w:sz w:val="20"/>
        </w:rPr>
        <w:t xml:space="preserve">Publication status. </w:t>
      </w:r>
      <w:r>
        <w:rPr>
          <w:rFonts w:ascii="Calibri" w:hAnsi="Calibri"/>
          <w:color w:val="111827"/>
          <w:sz w:val="20"/>
        </w:rPr>
        <w:t>Independent research preprint. This work has not been accepted, certified, or peer reviewed by a standards body, publisher, or the protocol vendors cited.</w:t>
      </w:r>
      <w:r>
        <w:rPr>
          <w:rFonts w:ascii="Calibri" w:hAnsi="Calibri"/>
          <w:b/>
          <w:color w:val="0B2545"/>
          <w:sz w:val="20"/>
        </w:rPr>
        <w:br/>
        <w:t xml:space="preserve">Reproducibility record. </w:t>
      </w:r>
      <w:hyperlink r:id="rId11">
        <w:r>
          <w:rPr>
            <w:color w:val="2E74B5"/>
            <w:u w:val="single"/>
            <w:rFonts w:ascii="Calibri" w:hAnsi="Calibri"/>
          </w:rPr>
          <w:t>skynet-chrome-cdp commit d19cd0222797</w:t>
        </w:r>
      </w:hyperlink>
    </w:p>
    <w:p>
      <w:r>
        <w:br w:type="page"/>
      </w:r>
    </w:p>
    <w:p>
      <w:pPr>
        <w:pStyle w:val="Heading1"/>
        <w:widowControl/>
      </w:pPr>
      <w:r>
        <w:rPr>
          <w:rFonts w:ascii="Calibri" w:hAnsi="Calibri"/>
        </w:rPr>
        <w:t>Abstract</w:t>
      </w:r>
    </w:p>
    <w:p>
      <w:pPr>
        <w:pStyle w:val="Abstract"/>
        <w:widowControl/>
      </w:pPr>
      <w:r>
        <w:rPr>
          <w:rFonts w:ascii="Calibri" w:hAnsi="Calibri"/>
        </w:rPr>
        <w:t>Raw accessibility-tree node totals are often reported as if they were stable properties of a page or instrument. This field study shows why that interpretation is unsafe without environment controls. Two Windows hosts running the same Chrome 151.0.7922.140 build against the same deterministic fixture initially returned 1,684 and 1,244 nodes, while DOM characters, actionable-element count, and extracted scene characters agreed. A controlled viewport experiment on one host then changed the raw total from 1,684 to 1,874 solely by narrowing the viewport from 1,280 to 800 CSS pixels. The 190-node increase was exactly the increase in InlineTextBox nodes. Subtracting InlineTextBox nodes yielded 1,244 at every tested width. These observations establish viewport dependence within the controlled host and support reporting a semantic candidate count separately from layout-derived nodes. They do not prove why the first 1,244-node reading occurred on the second host because that run lacks a role histogram. The paper therefore proposes a field-level comparability contract: pin and read back viewport state; record browser, protocol, fixture, and accessibility conditions; report role histograms; separate semantic and layout-derived counts; and scope each cross-machine claim to the measurements that actually reproduced.</w:t>
      </w:r>
    </w:p>
    <w:p>
      <w:pPr>
        <w:pStyle w:val="Abstract"/>
      </w:pPr>
      <w:r>
        <w:rPr>
          <w:rFonts w:ascii="Calibri" w:hAnsi="Calibri"/>
          <w:b/>
          <w:color w:val="0B2545"/>
          <w:sz w:val="21"/>
        </w:rPr>
        <w:t xml:space="preserve">Keywords: </w:t>
      </w:r>
      <w:r>
        <w:rPr>
          <w:rFonts w:ascii="Calibri" w:hAnsi="Calibri"/>
          <w:sz w:val="21"/>
        </w:rPr>
        <w:t>accessibility tree; Chrome DevTools Protocol; browser instrumentation; benchmark comparability; InlineTextBox; reproducible evaluation</w:t>
      </w:r>
    </w:p>
    <w:p>
      <w:pPr>
        <w:pStyle w:val="Heading1"/>
        <w:widowControl/>
      </w:pPr>
      <w:r>
        <w:rPr>
          <w:rFonts w:ascii="Calibri" w:hAnsi="Calibri"/>
        </w:rPr>
        <w:t>1. Research question and contribution</w:t>
      </w:r>
    </w:p>
    <w:p>
      <w:pPr>
        <w:widowControl/>
      </w:pPr>
      <w:r>
        <w:rPr>
          <w:rFonts w:ascii="Calibri" w:hAnsi="Calibri"/>
        </w:rPr>
        <w:t>Browser automation systems increasingly use the accessibility tree as a semantic perception layer. The Chrome DevTools Protocol (CDP) Accessibility domain exposes roles, names, states, and relationships that are closer to user-action semantics than raw markup [1]. That convenience creates a measurement risk: a raw node total can look like a property of the page even when part of the tree is produced by layout and browser accessibility state.</w:t>
      </w:r>
    </w:p>
    <w:p>
      <w:pPr>
        <w:widowControl/>
      </w:pPr>
      <w:r>
        <w:rPr>
          <w:rFonts w:ascii="Calibri" w:hAnsi="Calibri"/>
        </w:rPr>
        <w:t>This study asks a narrow question: under what recorded conditions can accessibility-tree node counts be compared across machines? Its contribution is empirical and procedural. It reports one two-host observation, one controlled viewport experiment, and a benchmark contract that distinguishes measured invariance from assumed portability. It does not claim that the proposed semantic count is universally invariant or that the experiment isolates an operating-system or hardware cause.</w:t>
      </w:r>
    </w:p>
    <w:p>
      <w:pPr>
        <w:pStyle w:val="Heading1"/>
        <w:widowControl/>
      </w:pPr>
      <w:r>
        <w:rPr>
          <w:rFonts w:ascii="Calibri" w:hAnsi="Calibri"/>
        </w:rPr>
        <w:t>2. Measurement design</w:t>
      </w:r>
    </w:p>
    <w:p>
      <w:pPr>
        <w:widowControl/>
      </w:pPr>
      <w:r>
        <w:rPr>
          <w:rFonts w:ascii="Calibri" w:hAnsi="Calibri"/>
        </w:rPr>
        <w:t>The benchmark creates its fixture inside a tab that it owns. The page contains 685 total HTML elements: 200 fixed-copy paragraphs and 120 form rows, each containing one label, one textbox, and one button. The actionable subset is therefore 240 controls: 120 textboxes plus 120 buttons. The fixture contains no randomness, wall-clock input, or network content. The exact generator is preserved in the commit identified in the reproducibility record [4][6].</w:t>
      </w:r>
    </w:p>
    <w:p>
      <w:pPr>
        <w:widowControl/>
      </w:pPr>
      <w:r>
        <w:rPr>
          <w:rFonts w:ascii="Calibri" w:hAnsi="Calibri"/>
        </w:rPr>
        <w:t>The original cross-host run used two physical Windows machines. Both reported Chrome 151.0.7922.140, V8 15.1.206.17, and CDP 1.3. Host A was Windows 11 with six logical CPUs and Python 3.13.7; Host B was Windows 10 with four logical CPUs and Python 3.14.7. The browser build was controlled, but operating system, CPU count, Python version, window state, and active accessibility mode were not all held constant. This is an observational comparison, not a causal hardware benchmark.</w:t>
      </w:r>
    </w:p>
    <w:p>
      <w:pPr>
        <w:widowControl/>
      </w:pPr>
      <w:r>
        <w:rPr>
          <w:rFonts w:ascii="Calibri" w:hAnsi="Calibri"/>
        </w:rPr>
        <w:t>The controlled follow-up used CDP Emulation.setDeviceMetricsOverride at widths of 800, 1,280, 1,920, and 2,560 CSS pixels, with height fixed at 900 pixels and deviceScaleFactor fixed at 1 [2]. The harness read window.innerWidth and window.innerHeight after each override before collecting Accessibility.getFullAXTree. The owned tab was closed at the end of the run.</w:t>
      </w:r>
    </w:p>
    <w:p>
      <w:pPr>
        <w:pStyle w:val="Caption"/>
      </w:pPr>
      <w:r>
        <w:t>Table 1. Recorded host conditions. The run is observational because several host variables differ.</w:t>
      </w:r>
    </w:p>
    <w:tbl>
      <w:tblPr>
        <w:tblStyle w:val="TableGrid"/>
        <w:tblW w:type="dxa" w:w="9360"/>
        <w:jc w:val="left"/>
        <w:tblLayout w:type="fixed"/>
        <w:tblLook w:firstColumn="1" w:firstRow="1" w:lastColumn="0" w:lastRow="0" w:noHBand="0" w:noVBand="1" w:val="04A0"/>
        <w:tblInd w:w="120" w:type="dxa"/>
      </w:tblPr>
      <w:tblGrid>
        <w:gridCol w:w="2100"/>
        <w:gridCol w:w="3630"/>
        <w:gridCol w:w="3630"/>
      </w:tblGrid>
      <w:tr>
        <w:trPr>
          <w:tblHeader w:val="true"/>
        </w:trPr>
        <w:tc>
          <w:tcPr>
            <w:tcW w:type="dxa" w:w="21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8"/>
              </w:rPr>
              <w:t>Condition</w:t>
            </w:r>
          </w:p>
        </w:tc>
        <w:tc>
          <w:tcPr>
            <w:tcW w:type="dxa" w:w="363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8"/>
              </w:rPr>
              <w:t>Host A</w:t>
            </w:r>
          </w:p>
        </w:tc>
        <w:tc>
          <w:tcPr>
            <w:tcW w:type="dxa" w:w="363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8"/>
              </w:rPr>
              <w:t>Host B</w:t>
            </w:r>
          </w:p>
        </w:tc>
      </w:tr>
      <w:tr>
        <w:tc>
          <w:tcPr>
            <w:tcW w:type="dxa" w:w="2100"/>
            <w:vAlign w:val="center"/>
            <w:tcMar>
              <w:top w:w="80" w:type="dxa"/>
              <w:start w:w="120" w:type="dxa"/>
              <w:bottom w:w="80" w:type="dxa"/>
              <w:end w:w="120" w:type="dxa"/>
            </w:tcMar>
          </w:tcPr>
          <w:p>
            <w:pPr>
              <w:spacing w:before="0" w:after="0" w:line="252" w:lineRule="auto"/>
            </w:pPr>
            <w:r/>
            <w:r>
              <w:rPr>
                <w:rFonts w:ascii="Calibri" w:hAnsi="Calibri"/>
                <w:b w:val="0"/>
                <w:color w:val="111827"/>
                <w:sz w:val="18"/>
              </w:rPr>
              <w:t>Machine</w:t>
            </w:r>
          </w:p>
        </w:tc>
        <w:tc>
          <w:tcPr>
            <w:tcW w:type="dxa" w:w="3630"/>
            <w:vAlign w:val="center"/>
            <w:tcMar>
              <w:top w:w="80" w:type="dxa"/>
              <w:start w:w="120" w:type="dxa"/>
              <w:bottom w:w="80" w:type="dxa"/>
              <w:end w:w="120" w:type="dxa"/>
            </w:tcMar>
          </w:tcPr>
          <w:p>
            <w:pPr>
              <w:spacing w:before="0" w:after="0" w:line="252" w:lineRule="auto"/>
            </w:pPr>
            <w:r/>
            <w:r>
              <w:rPr>
                <w:rFonts w:ascii="Calibri" w:hAnsi="Calibri"/>
                <w:b w:val="0"/>
                <w:color w:val="111827"/>
                <w:sz w:val="18"/>
              </w:rPr>
              <w:t>Zeke</w:t>
            </w:r>
          </w:p>
        </w:tc>
        <w:tc>
          <w:tcPr>
            <w:tcW w:type="dxa" w:w="3630"/>
            <w:vAlign w:val="center"/>
            <w:tcMar>
              <w:top w:w="80" w:type="dxa"/>
              <w:start w:w="120" w:type="dxa"/>
              <w:bottom w:w="80" w:type="dxa"/>
              <w:end w:w="120" w:type="dxa"/>
            </w:tcMar>
          </w:tcPr>
          <w:p>
            <w:pPr>
              <w:spacing w:before="0" w:after="0" w:line="252" w:lineRule="auto"/>
            </w:pPr>
            <w:r/>
            <w:r>
              <w:rPr>
                <w:rFonts w:ascii="Calibri" w:hAnsi="Calibri"/>
                <w:b w:val="0"/>
                <w:color w:val="111827"/>
                <w:sz w:val="18"/>
              </w:rPr>
              <w:t>DESKTOP-OJ9K9QR</w:t>
            </w:r>
          </w:p>
        </w:tc>
      </w:tr>
      <w:tr>
        <w:tc>
          <w:tcPr>
            <w:tcW w:type="dxa" w:w="21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Operating system</w:t>
            </w:r>
          </w:p>
        </w:tc>
        <w:tc>
          <w:tcPr>
            <w:tcW w:type="dxa" w:w="363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Windows 11 (10.0.26200)</w:t>
            </w:r>
          </w:p>
        </w:tc>
        <w:tc>
          <w:tcPr>
            <w:tcW w:type="dxa" w:w="363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Windows 10 (10.0.19045)</w:t>
            </w:r>
          </w:p>
        </w:tc>
      </w:tr>
      <w:tr>
        <w:tc>
          <w:tcPr>
            <w:tcW w:type="dxa" w:w="2100"/>
            <w:vAlign w:val="center"/>
            <w:tcMar>
              <w:top w:w="80" w:type="dxa"/>
              <w:start w:w="120" w:type="dxa"/>
              <w:bottom w:w="80" w:type="dxa"/>
              <w:end w:w="120" w:type="dxa"/>
            </w:tcMar>
          </w:tcPr>
          <w:p>
            <w:pPr>
              <w:spacing w:before="0" w:after="0" w:line="252" w:lineRule="auto"/>
            </w:pPr>
            <w:r/>
            <w:r>
              <w:rPr>
                <w:rFonts w:ascii="Calibri" w:hAnsi="Calibri"/>
                <w:b w:val="0"/>
                <w:color w:val="111827"/>
                <w:sz w:val="18"/>
              </w:rPr>
              <w:t>Logical CPUs</w:t>
            </w:r>
          </w:p>
        </w:tc>
        <w:tc>
          <w:tcPr>
            <w:tcW w:type="dxa" w:w="3630"/>
            <w:vAlign w:val="center"/>
            <w:tcMar>
              <w:top w:w="80" w:type="dxa"/>
              <w:start w:w="120" w:type="dxa"/>
              <w:bottom w:w="80" w:type="dxa"/>
              <w:end w:w="120" w:type="dxa"/>
            </w:tcMar>
          </w:tcPr>
          <w:p>
            <w:pPr>
              <w:spacing w:before="0" w:after="0" w:line="252" w:lineRule="auto"/>
            </w:pPr>
            <w:r/>
            <w:r>
              <w:rPr>
                <w:rFonts w:ascii="Calibri" w:hAnsi="Calibri"/>
                <w:b w:val="0"/>
                <w:color w:val="111827"/>
                <w:sz w:val="18"/>
              </w:rPr>
              <w:t>6</w:t>
            </w:r>
          </w:p>
        </w:tc>
        <w:tc>
          <w:tcPr>
            <w:tcW w:type="dxa" w:w="3630"/>
            <w:vAlign w:val="center"/>
            <w:tcMar>
              <w:top w:w="80" w:type="dxa"/>
              <w:start w:w="120" w:type="dxa"/>
              <w:bottom w:w="80" w:type="dxa"/>
              <w:end w:w="120" w:type="dxa"/>
            </w:tcMar>
          </w:tcPr>
          <w:p>
            <w:pPr>
              <w:spacing w:before="0" w:after="0" w:line="252" w:lineRule="auto"/>
            </w:pPr>
            <w:r/>
            <w:r>
              <w:rPr>
                <w:rFonts w:ascii="Calibri" w:hAnsi="Calibri"/>
                <w:b w:val="0"/>
                <w:color w:val="111827"/>
                <w:sz w:val="18"/>
              </w:rPr>
              <w:t>4</w:t>
            </w:r>
          </w:p>
        </w:tc>
      </w:tr>
      <w:tr>
        <w:tc>
          <w:tcPr>
            <w:tcW w:type="dxa" w:w="21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Python</w:t>
            </w:r>
          </w:p>
        </w:tc>
        <w:tc>
          <w:tcPr>
            <w:tcW w:type="dxa" w:w="363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3.13.7</w:t>
            </w:r>
          </w:p>
        </w:tc>
        <w:tc>
          <w:tcPr>
            <w:tcW w:type="dxa" w:w="363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3.14.7</w:t>
            </w:r>
          </w:p>
        </w:tc>
      </w:tr>
      <w:tr>
        <w:tc>
          <w:tcPr>
            <w:tcW w:type="dxa" w:w="2100"/>
            <w:vAlign w:val="center"/>
            <w:tcMar>
              <w:top w:w="80" w:type="dxa"/>
              <w:start w:w="120" w:type="dxa"/>
              <w:bottom w:w="80" w:type="dxa"/>
              <w:end w:w="120" w:type="dxa"/>
            </w:tcMar>
          </w:tcPr>
          <w:p>
            <w:pPr>
              <w:spacing w:before="0" w:after="0" w:line="252" w:lineRule="auto"/>
            </w:pPr>
            <w:r/>
            <w:r>
              <w:rPr>
                <w:rFonts w:ascii="Calibri" w:hAnsi="Calibri"/>
                <w:b w:val="0"/>
                <w:color w:val="111827"/>
                <w:sz w:val="18"/>
              </w:rPr>
              <w:t>Chrome</w:t>
            </w:r>
          </w:p>
        </w:tc>
        <w:tc>
          <w:tcPr>
            <w:tcW w:type="dxa" w:w="3630"/>
            <w:vAlign w:val="center"/>
            <w:tcMar>
              <w:top w:w="80" w:type="dxa"/>
              <w:start w:w="120" w:type="dxa"/>
              <w:bottom w:w="80" w:type="dxa"/>
              <w:end w:w="120" w:type="dxa"/>
            </w:tcMar>
          </w:tcPr>
          <w:p>
            <w:pPr>
              <w:spacing w:before="0" w:after="0" w:line="252" w:lineRule="auto"/>
            </w:pPr>
            <w:r/>
            <w:r>
              <w:rPr>
                <w:rFonts w:ascii="Calibri" w:hAnsi="Calibri"/>
                <w:b w:val="0"/>
                <w:color w:val="111827"/>
                <w:sz w:val="18"/>
              </w:rPr>
              <w:t>151.0.7922.140</w:t>
            </w:r>
          </w:p>
        </w:tc>
        <w:tc>
          <w:tcPr>
            <w:tcW w:type="dxa" w:w="3630"/>
            <w:vAlign w:val="center"/>
            <w:tcMar>
              <w:top w:w="80" w:type="dxa"/>
              <w:start w:w="120" w:type="dxa"/>
              <w:bottom w:w="80" w:type="dxa"/>
              <w:end w:w="120" w:type="dxa"/>
            </w:tcMar>
          </w:tcPr>
          <w:p>
            <w:pPr>
              <w:spacing w:before="0" w:after="0" w:line="252" w:lineRule="auto"/>
            </w:pPr>
            <w:r/>
            <w:r>
              <w:rPr>
                <w:rFonts w:ascii="Calibri" w:hAnsi="Calibri"/>
                <w:b w:val="0"/>
                <w:color w:val="111827"/>
                <w:sz w:val="18"/>
              </w:rPr>
              <w:t>151.0.7922.140</w:t>
            </w:r>
          </w:p>
        </w:tc>
      </w:tr>
      <w:tr>
        <w:tc>
          <w:tcPr>
            <w:tcW w:type="dxa" w:w="21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V8</w:t>
            </w:r>
          </w:p>
        </w:tc>
        <w:tc>
          <w:tcPr>
            <w:tcW w:type="dxa" w:w="363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15.1.206.17</w:t>
            </w:r>
          </w:p>
        </w:tc>
        <w:tc>
          <w:tcPr>
            <w:tcW w:type="dxa" w:w="363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15.1.206.17</w:t>
            </w:r>
          </w:p>
        </w:tc>
      </w:tr>
      <w:tr>
        <w:tc>
          <w:tcPr>
            <w:tcW w:type="dxa" w:w="2100"/>
            <w:vAlign w:val="center"/>
            <w:tcMar>
              <w:top w:w="80" w:type="dxa"/>
              <w:start w:w="120" w:type="dxa"/>
              <w:bottom w:w="80" w:type="dxa"/>
              <w:end w:w="120" w:type="dxa"/>
            </w:tcMar>
          </w:tcPr>
          <w:p>
            <w:pPr>
              <w:spacing w:before="0" w:after="0" w:line="252" w:lineRule="auto"/>
            </w:pPr>
            <w:r/>
            <w:r>
              <w:rPr>
                <w:rFonts w:ascii="Calibri" w:hAnsi="Calibri"/>
                <w:b w:val="0"/>
                <w:color w:val="111827"/>
                <w:sz w:val="18"/>
              </w:rPr>
              <w:t>CDP</w:t>
            </w:r>
          </w:p>
        </w:tc>
        <w:tc>
          <w:tcPr>
            <w:tcW w:type="dxa" w:w="3630"/>
            <w:vAlign w:val="center"/>
            <w:tcMar>
              <w:top w:w="80" w:type="dxa"/>
              <w:start w:w="120" w:type="dxa"/>
              <w:bottom w:w="80" w:type="dxa"/>
              <w:end w:w="120" w:type="dxa"/>
            </w:tcMar>
          </w:tcPr>
          <w:p>
            <w:pPr>
              <w:spacing w:before="0" w:after="0" w:line="252" w:lineRule="auto"/>
            </w:pPr>
            <w:r/>
            <w:r>
              <w:rPr>
                <w:rFonts w:ascii="Calibri" w:hAnsi="Calibri"/>
                <w:b w:val="0"/>
                <w:color w:val="111827"/>
                <w:sz w:val="18"/>
              </w:rPr>
              <w:t>1.3</w:t>
            </w:r>
          </w:p>
        </w:tc>
        <w:tc>
          <w:tcPr>
            <w:tcW w:type="dxa" w:w="3630"/>
            <w:vAlign w:val="center"/>
            <w:tcMar>
              <w:top w:w="80" w:type="dxa"/>
              <w:start w:w="120" w:type="dxa"/>
              <w:bottom w:w="80" w:type="dxa"/>
              <w:end w:w="120" w:type="dxa"/>
            </w:tcMar>
          </w:tcPr>
          <w:p>
            <w:pPr>
              <w:spacing w:before="0" w:after="0" w:line="252" w:lineRule="auto"/>
            </w:pPr>
            <w:r/>
            <w:r>
              <w:rPr>
                <w:rFonts w:ascii="Calibri" w:hAnsi="Calibri"/>
                <w:b w:val="0"/>
                <w:color w:val="111827"/>
                <w:sz w:val="18"/>
              </w:rPr>
              <w:t>1.3</w:t>
            </w:r>
          </w:p>
        </w:tc>
      </w:tr>
    </w:tbl>
    <w:p>
      <w:pPr>
        <w:spacing w:after="80"/>
      </w:pPr>
    </w:p>
    <w:p>
      <w:pPr>
        <w:pStyle w:val="Heading1"/>
        <w:widowControl/>
      </w:pPr>
      <w:r>
        <w:rPr>
          <w:rFonts w:ascii="Calibri" w:hAnsi="Calibri"/>
        </w:rPr>
        <w:t>3. Cross-host observation</w:t>
      </w:r>
    </w:p>
    <w:p>
      <w:pPr>
        <w:widowControl/>
      </w:pPr>
      <w:r>
        <w:rPr>
          <w:rFonts w:ascii="Calibri" w:hAnsi="Calibri"/>
        </w:rPr>
        <w:t>The two hosts agreed on the page-derived measurements that were independent of the raw tree total: 55,945 DOM characters, 240 actionable elements, 4,579 extracted scene characters, and a 12.22x DOM-to-scene reduction. They did not agree on raw accessibility-tree nodes or screenshot payload size.</w:t>
      </w:r>
    </w:p>
    <w:p>
      <w:pPr>
        <w:widowControl/>
      </w:pPr>
      <w:r>
        <w:rPr>
          <w:rFonts w:ascii="Calibri" w:hAnsi="Calibri"/>
        </w:rPr>
        <w:t>Host A returned 1,684 raw nodes. Host B's first run returned 1,244. The absolute gap is 440 nodes; relative to Host A, Host B's first total is 26.13% lower. That arithmetic is measured. The role composition of Host B's first tree is not: the run stored only the bare total.</w:t>
      </w:r>
    </w:p>
    <w:p>
      <w:pPr>
        <w:widowControl/>
      </w:pPr>
      <w:r>
        <w:rPr>
          <w:rFonts w:ascii="Calibri" w:hAnsi="Calibri"/>
        </w:rPr>
        <w:t>A later Host B run reported TOTAL 1684, INLINETEXTBOX 440, and SEMANTIC 1244 at an inner window of 929 x 925. That later observation supports the stability of the 1,244 semantic candidate across the two tested hosts, but it cannot retroactively identify which roles were absent from Host B's first 1,244-node tree.</w:t>
      </w:r>
    </w:p>
    <w:p>
      <w:r>
        <w:br w:type="page"/>
      </w:r>
    </w:p>
    <w:p>
      <w:pPr>
        <w:pStyle w:val="Caption"/>
      </w:pPr>
      <w:r>
        <w:t>Table 2. Original cross-host fixture measurements.</w:t>
      </w:r>
    </w:p>
    <w:tbl>
      <w:tblPr>
        <w:tblStyle w:val="TableGrid"/>
        <w:tblW w:type="dxa" w:w="9360"/>
        <w:jc w:val="left"/>
        <w:tblLayout w:type="fixed"/>
        <w:tblLook w:firstColumn="1" w:firstRow="1" w:lastColumn="0" w:lastRow="0" w:noHBand="0" w:noVBand="1" w:val="04A0"/>
        <w:tblInd w:w="120" w:type="dxa"/>
      </w:tblPr>
      <w:tblGrid>
        <w:gridCol w:w="1900"/>
        <w:gridCol w:w="1050"/>
        <w:gridCol w:w="1050"/>
        <w:gridCol w:w="5360"/>
      </w:tblGrid>
      <w:tr>
        <w:trPr>
          <w:tblHeader w:val="true"/>
        </w:trPr>
        <w:tc>
          <w:tcPr>
            <w:tcW w:type="dxa" w:w="19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Measurement</w:t>
            </w:r>
          </w:p>
        </w:tc>
        <w:tc>
          <w:tcPr>
            <w:tcW w:type="dxa" w:w="105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Host A</w:t>
            </w:r>
          </w:p>
        </w:tc>
        <w:tc>
          <w:tcPr>
            <w:tcW w:type="dxa" w:w="105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Host B</w:t>
            </w:r>
          </w:p>
        </w:tc>
        <w:tc>
          <w:tcPr>
            <w:tcW w:type="dxa" w:w="536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Comparability statement</w:t>
            </w:r>
          </w:p>
        </w:tc>
      </w:tr>
      <w:tr>
        <w:tc>
          <w:tcPr>
            <w:tcW w:type="dxa" w:w="1900"/>
            <w:vAlign w:val="center"/>
            <w:tcMar>
              <w:top w:w="80" w:type="dxa"/>
              <w:start w:w="120" w:type="dxa"/>
              <w:bottom w:w="80" w:type="dxa"/>
              <w:end w:w="120" w:type="dxa"/>
            </w:tcMar>
          </w:tcPr>
          <w:p>
            <w:pPr>
              <w:spacing w:before="0" w:after="0" w:line="252" w:lineRule="auto"/>
            </w:pPr>
            <w:r/>
            <w:r>
              <w:rPr>
                <w:rFonts w:ascii="Calibri" w:hAnsi="Calibri"/>
                <w:b w:val="0"/>
                <w:color w:val="111827"/>
                <w:sz w:val="17"/>
              </w:rPr>
              <w:t>DOM characters</w:t>
            </w:r>
          </w:p>
        </w:tc>
        <w:tc>
          <w:tcPr>
            <w:tcW w:type="dxa" w:w="1050"/>
            <w:vAlign w:val="center"/>
            <w:tcMar>
              <w:top w:w="80" w:type="dxa"/>
              <w:start w:w="120" w:type="dxa"/>
              <w:bottom w:w="80" w:type="dxa"/>
              <w:end w:w="120" w:type="dxa"/>
            </w:tcMar>
          </w:tcPr>
          <w:p>
            <w:pPr>
              <w:spacing w:before="0" w:after="0" w:line="252" w:lineRule="auto"/>
            </w:pPr>
            <w:r/>
            <w:r>
              <w:rPr>
                <w:rFonts w:ascii="Calibri" w:hAnsi="Calibri"/>
                <w:b w:val="0"/>
                <w:color w:val="111827"/>
                <w:sz w:val="17"/>
              </w:rPr>
              <w:t>55,945</w:t>
            </w:r>
          </w:p>
        </w:tc>
        <w:tc>
          <w:tcPr>
            <w:tcW w:type="dxa" w:w="1050"/>
            <w:vAlign w:val="center"/>
            <w:tcMar>
              <w:top w:w="80" w:type="dxa"/>
              <w:start w:w="120" w:type="dxa"/>
              <w:bottom w:w="80" w:type="dxa"/>
              <w:end w:w="120" w:type="dxa"/>
            </w:tcMar>
          </w:tcPr>
          <w:p>
            <w:pPr>
              <w:spacing w:before="0" w:after="0" w:line="252" w:lineRule="auto"/>
            </w:pPr>
            <w:r/>
            <w:r>
              <w:rPr>
                <w:rFonts w:ascii="Calibri" w:hAnsi="Calibri"/>
                <w:b w:val="0"/>
                <w:color w:val="111827"/>
                <w:sz w:val="17"/>
              </w:rPr>
              <w:t>55,945</w:t>
            </w:r>
          </w:p>
        </w:tc>
        <w:tc>
          <w:tcPr>
            <w:tcW w:type="dxa" w:w="5360"/>
            <w:vAlign w:val="center"/>
            <w:tcMar>
              <w:top w:w="80" w:type="dxa"/>
              <w:start w:w="120" w:type="dxa"/>
              <w:bottom w:w="80" w:type="dxa"/>
              <w:end w:w="120" w:type="dxa"/>
            </w:tcMar>
          </w:tcPr>
          <w:p>
            <w:pPr>
              <w:spacing w:before="0" w:after="0" w:line="252" w:lineRule="auto"/>
            </w:pPr>
            <w:r/>
            <w:r>
              <w:rPr>
                <w:rFonts w:ascii="Calibri" w:hAnsi="Calibri"/>
                <w:b w:val="0"/>
                <w:color w:val="111827"/>
                <w:sz w:val="17"/>
              </w:rPr>
              <w:t>Matched on both tested hosts</w:t>
            </w:r>
          </w:p>
        </w:tc>
      </w:tr>
      <w:tr>
        <w:tc>
          <w:tcPr>
            <w:tcW w:type="dxa" w:w="19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Raw AX nodes</w:t>
            </w:r>
          </w:p>
        </w:tc>
        <w:tc>
          <w:tcPr>
            <w:tcW w:type="dxa" w:w="105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1,684</w:t>
            </w:r>
          </w:p>
        </w:tc>
        <w:tc>
          <w:tcPr>
            <w:tcW w:type="dxa" w:w="105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1,244</w:t>
            </w:r>
          </w:p>
        </w:tc>
        <w:tc>
          <w:tcPr>
            <w:tcW w:type="dxa" w:w="53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Not comparable; Host B role histogram absent</w:t>
            </w:r>
          </w:p>
        </w:tc>
      </w:tr>
      <w:tr>
        <w:tc>
          <w:tcPr>
            <w:tcW w:type="dxa" w:w="1900"/>
            <w:vAlign w:val="center"/>
            <w:tcMar>
              <w:top w:w="80" w:type="dxa"/>
              <w:start w:w="120" w:type="dxa"/>
              <w:bottom w:w="80" w:type="dxa"/>
              <w:end w:w="120" w:type="dxa"/>
            </w:tcMar>
          </w:tcPr>
          <w:p>
            <w:pPr>
              <w:spacing w:before="0" w:after="0" w:line="252" w:lineRule="auto"/>
            </w:pPr>
            <w:r/>
            <w:r>
              <w:rPr>
                <w:rFonts w:ascii="Calibri" w:hAnsi="Calibri"/>
                <w:b w:val="0"/>
                <w:color w:val="111827"/>
                <w:sz w:val="17"/>
              </w:rPr>
              <w:t>Actionable controls</w:t>
            </w:r>
          </w:p>
        </w:tc>
        <w:tc>
          <w:tcPr>
            <w:tcW w:type="dxa" w:w="1050"/>
            <w:vAlign w:val="center"/>
            <w:tcMar>
              <w:top w:w="80" w:type="dxa"/>
              <w:start w:w="120" w:type="dxa"/>
              <w:bottom w:w="80" w:type="dxa"/>
              <w:end w:w="120" w:type="dxa"/>
            </w:tcMar>
          </w:tcPr>
          <w:p>
            <w:pPr>
              <w:spacing w:before="0" w:after="0" w:line="252" w:lineRule="auto"/>
            </w:pPr>
            <w:r/>
            <w:r>
              <w:rPr>
                <w:rFonts w:ascii="Calibri" w:hAnsi="Calibri"/>
                <w:b w:val="0"/>
                <w:color w:val="111827"/>
                <w:sz w:val="17"/>
              </w:rPr>
              <w:t>240</w:t>
            </w:r>
          </w:p>
        </w:tc>
        <w:tc>
          <w:tcPr>
            <w:tcW w:type="dxa" w:w="1050"/>
            <w:vAlign w:val="center"/>
            <w:tcMar>
              <w:top w:w="80" w:type="dxa"/>
              <w:start w:w="120" w:type="dxa"/>
              <w:bottom w:w="80" w:type="dxa"/>
              <w:end w:w="120" w:type="dxa"/>
            </w:tcMar>
          </w:tcPr>
          <w:p>
            <w:pPr>
              <w:spacing w:before="0" w:after="0" w:line="252" w:lineRule="auto"/>
            </w:pPr>
            <w:r/>
            <w:r>
              <w:rPr>
                <w:rFonts w:ascii="Calibri" w:hAnsi="Calibri"/>
                <w:b w:val="0"/>
                <w:color w:val="111827"/>
                <w:sz w:val="17"/>
              </w:rPr>
              <w:t>240</w:t>
            </w:r>
          </w:p>
        </w:tc>
        <w:tc>
          <w:tcPr>
            <w:tcW w:type="dxa" w:w="5360"/>
            <w:vAlign w:val="center"/>
            <w:tcMar>
              <w:top w:w="80" w:type="dxa"/>
              <w:start w:w="120" w:type="dxa"/>
              <w:bottom w:w="80" w:type="dxa"/>
              <w:end w:w="120" w:type="dxa"/>
            </w:tcMar>
          </w:tcPr>
          <w:p>
            <w:pPr>
              <w:spacing w:before="0" w:after="0" w:line="252" w:lineRule="auto"/>
            </w:pPr>
            <w:r/>
            <w:r>
              <w:rPr>
                <w:rFonts w:ascii="Calibri" w:hAnsi="Calibri"/>
                <w:b w:val="0"/>
                <w:color w:val="111827"/>
                <w:sz w:val="17"/>
              </w:rPr>
              <w:t>Matched on both tested hosts</w:t>
            </w:r>
          </w:p>
        </w:tc>
      </w:tr>
      <w:tr>
        <w:tc>
          <w:tcPr>
            <w:tcW w:type="dxa" w:w="19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Scene characters</w:t>
            </w:r>
          </w:p>
        </w:tc>
        <w:tc>
          <w:tcPr>
            <w:tcW w:type="dxa" w:w="105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4,579</w:t>
            </w:r>
          </w:p>
        </w:tc>
        <w:tc>
          <w:tcPr>
            <w:tcW w:type="dxa" w:w="105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4,579</w:t>
            </w:r>
          </w:p>
        </w:tc>
        <w:tc>
          <w:tcPr>
            <w:tcW w:type="dxa" w:w="53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Matched on both tested hosts</w:t>
            </w:r>
          </w:p>
        </w:tc>
      </w:tr>
      <w:tr>
        <w:tc>
          <w:tcPr>
            <w:tcW w:type="dxa" w:w="1900"/>
            <w:vAlign w:val="center"/>
            <w:tcMar>
              <w:top w:w="80" w:type="dxa"/>
              <w:start w:w="120" w:type="dxa"/>
              <w:bottom w:w="80" w:type="dxa"/>
              <w:end w:w="120" w:type="dxa"/>
            </w:tcMar>
          </w:tcPr>
          <w:p>
            <w:pPr>
              <w:spacing w:before="0" w:after="0" w:line="252" w:lineRule="auto"/>
            </w:pPr>
            <w:r/>
            <w:r>
              <w:rPr>
                <w:rFonts w:ascii="Calibri" w:hAnsi="Calibri"/>
                <w:b w:val="0"/>
                <w:color w:val="111827"/>
                <w:sz w:val="17"/>
              </w:rPr>
              <w:t>DOM / scene</w:t>
            </w:r>
          </w:p>
        </w:tc>
        <w:tc>
          <w:tcPr>
            <w:tcW w:type="dxa" w:w="1050"/>
            <w:vAlign w:val="center"/>
            <w:tcMar>
              <w:top w:w="80" w:type="dxa"/>
              <w:start w:w="120" w:type="dxa"/>
              <w:bottom w:w="80" w:type="dxa"/>
              <w:end w:w="120" w:type="dxa"/>
            </w:tcMar>
          </w:tcPr>
          <w:p>
            <w:pPr>
              <w:spacing w:before="0" w:after="0" w:line="252" w:lineRule="auto"/>
            </w:pPr>
            <w:r/>
            <w:r>
              <w:rPr>
                <w:rFonts w:ascii="Calibri" w:hAnsi="Calibri"/>
                <w:b w:val="0"/>
                <w:color w:val="111827"/>
                <w:sz w:val="17"/>
              </w:rPr>
              <w:t>12.22x</w:t>
            </w:r>
          </w:p>
        </w:tc>
        <w:tc>
          <w:tcPr>
            <w:tcW w:type="dxa" w:w="1050"/>
            <w:vAlign w:val="center"/>
            <w:tcMar>
              <w:top w:w="80" w:type="dxa"/>
              <w:start w:w="120" w:type="dxa"/>
              <w:bottom w:w="80" w:type="dxa"/>
              <w:end w:w="120" w:type="dxa"/>
            </w:tcMar>
          </w:tcPr>
          <w:p>
            <w:pPr>
              <w:spacing w:before="0" w:after="0" w:line="252" w:lineRule="auto"/>
            </w:pPr>
            <w:r/>
            <w:r>
              <w:rPr>
                <w:rFonts w:ascii="Calibri" w:hAnsi="Calibri"/>
                <w:b w:val="0"/>
                <w:color w:val="111827"/>
                <w:sz w:val="17"/>
              </w:rPr>
              <w:t>12.22x</w:t>
            </w:r>
          </w:p>
        </w:tc>
        <w:tc>
          <w:tcPr>
            <w:tcW w:type="dxa" w:w="5360"/>
            <w:vAlign w:val="center"/>
            <w:tcMar>
              <w:top w:w="80" w:type="dxa"/>
              <w:start w:w="120" w:type="dxa"/>
              <w:bottom w:w="80" w:type="dxa"/>
              <w:end w:w="120" w:type="dxa"/>
            </w:tcMar>
          </w:tcPr>
          <w:p>
            <w:pPr>
              <w:spacing w:before="0" w:after="0" w:line="252" w:lineRule="auto"/>
            </w:pPr>
            <w:r/>
            <w:r>
              <w:rPr>
                <w:rFonts w:ascii="Calibri" w:hAnsi="Calibri"/>
                <w:b w:val="0"/>
                <w:color w:val="111827"/>
                <w:sz w:val="17"/>
              </w:rPr>
              <w:t>Matched on both tested hosts</w:t>
            </w:r>
          </w:p>
        </w:tc>
      </w:tr>
      <w:tr>
        <w:tc>
          <w:tcPr>
            <w:tcW w:type="dxa" w:w="19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Screenshot bytes</w:t>
            </w:r>
          </w:p>
        </w:tc>
        <w:tc>
          <w:tcPr>
            <w:tcW w:type="dxa" w:w="105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119,683</w:t>
            </w:r>
          </w:p>
        </w:tc>
        <w:tc>
          <w:tcPr>
            <w:tcW w:type="dxa" w:w="105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109,932</w:t>
            </w:r>
          </w:p>
        </w:tc>
        <w:tc>
          <w:tcPr>
            <w:tcW w:type="dxa" w:w="53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Not comparable; viewport and pixels unpinned</w:t>
            </w:r>
          </w:p>
        </w:tc>
      </w:tr>
    </w:tbl>
    <w:p>
      <w:pPr>
        <w:spacing w:after="80"/>
      </w:pPr>
    </w:p>
    <w:p>
      <w:pPr>
        <w:pStyle w:val="Heading1"/>
        <w:widowControl/>
      </w:pPr>
      <w:r>
        <w:rPr>
          <w:rFonts w:ascii="Calibri" w:hAnsi="Calibri"/>
        </w:rPr>
        <w:t>4. Controlled viewport results</w:t>
      </w:r>
    </w:p>
    <w:p>
      <w:pPr>
        <w:widowControl/>
      </w:pPr>
      <w:r>
        <w:rPr>
          <w:rFonts w:ascii="Calibri" w:hAnsi="Calibri"/>
        </w:rPr>
        <w:t>Narrowing Host A from 1,280 to 800 CSS pixels increased the raw node total by 190, from 1,684 to 1,874, while DOM characters and actionable nodes did not move. InlineTextBox nodes increased by exactly the same 190, from 440 to 630. The semantic candidate, defined here as raw nodes minus InlineTextBox nodes, remained 1,244 at all four widths.</w:t>
      </w:r>
    </w:p>
    <w:p>
      <w:pPr>
        <w:widowControl/>
      </w:pPr>
      <w:r>
        <w:rPr>
          <w:rFonts w:ascii="Calibri" w:hAnsi="Calibri"/>
        </w:rPr>
        <w:t>This establishes a controlled relationship within the tested host and fixture: the raw count changed with viewport width, and the observed change was fully accounted for by InlineTextBox. It does not establish that every raw-count change in every browser is caused by the same role, nor that subtraction is a standards-defined universal semantic metric.</w:t>
      </w:r>
    </w:p>
    <w:p>
      <w:pPr>
        <w:pStyle w:val="Caption"/>
      </w:pPr>
      <w:r>
        <w:t>Table 3. Controlled viewport experiment on Host A.</w:t>
      </w:r>
    </w:p>
    <w:tbl>
      <w:tblPr>
        <w:tblStyle w:val="TableGrid"/>
        <w:tblW w:type="dxa" w:w="9360"/>
        <w:jc w:val="left"/>
        <w:tblLayout w:type="fixed"/>
        <w:tblLook w:firstColumn="1" w:firstRow="1" w:lastColumn="0" w:lastRow="0" w:noHBand="0" w:noVBand="1" w:val="04A0"/>
        <w:tblInd w:w="120" w:type="dxa"/>
      </w:tblPr>
      <w:tblGrid>
        <w:gridCol w:w="1500"/>
        <w:gridCol w:w="1300"/>
        <w:gridCol w:w="1800"/>
        <w:gridCol w:w="1700"/>
        <w:gridCol w:w="1500"/>
        <w:gridCol w:w="1560"/>
      </w:tblGrid>
      <w:tr>
        <w:trPr>
          <w:tblHeader w:val="true"/>
        </w:trPr>
        <w:tc>
          <w:tcPr>
            <w:tcW w:type="dxa" w:w="15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Viewport</w:t>
            </w:r>
          </w:p>
        </w:tc>
        <w:tc>
          <w:tcPr>
            <w:tcW w:type="dxa" w:w="13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Raw AX</w:t>
            </w:r>
          </w:p>
        </w:tc>
        <w:tc>
          <w:tcPr>
            <w:tcW w:type="dxa" w:w="18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InlineTextBox</w:t>
            </w:r>
          </w:p>
        </w:tc>
        <w:tc>
          <w:tcPr>
            <w:tcW w:type="dxa" w:w="17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Raw - Inline</w:t>
            </w:r>
          </w:p>
        </w:tc>
        <w:tc>
          <w:tcPr>
            <w:tcW w:type="dxa" w:w="15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Actionable</w:t>
            </w:r>
          </w:p>
        </w:tc>
        <w:tc>
          <w:tcPr>
            <w:tcW w:type="dxa" w:w="156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DOM chars</w:t>
            </w:r>
          </w:p>
        </w:tc>
      </w:tr>
      <w:tr>
        <w:tc>
          <w:tcPr>
            <w:tcW w:type="dxa" w:w="1500"/>
            <w:vAlign w:val="center"/>
            <w:tcMar>
              <w:top w:w="80" w:type="dxa"/>
              <w:start w:w="120" w:type="dxa"/>
              <w:bottom w:w="80" w:type="dxa"/>
              <w:end w:w="120" w:type="dxa"/>
            </w:tcMar>
          </w:tcPr>
          <w:p>
            <w:pPr>
              <w:spacing w:before="0" w:after="0" w:line="252" w:lineRule="auto"/>
            </w:pPr>
            <w:r/>
            <w:r>
              <w:rPr>
                <w:rFonts w:ascii="Calibri" w:hAnsi="Calibri"/>
                <w:b w:val="0"/>
                <w:color w:val="111827"/>
                <w:sz w:val="17"/>
              </w:rPr>
              <w:t>800 x 900</w:t>
            </w:r>
          </w:p>
        </w:tc>
        <w:tc>
          <w:tcPr>
            <w:tcW w:type="dxa" w:w="1300"/>
            <w:vAlign w:val="center"/>
            <w:tcMar>
              <w:top w:w="80" w:type="dxa"/>
              <w:start w:w="120" w:type="dxa"/>
              <w:bottom w:w="80" w:type="dxa"/>
              <w:end w:w="120" w:type="dxa"/>
            </w:tcMar>
          </w:tcPr>
          <w:p>
            <w:pPr>
              <w:spacing w:before="0" w:after="0" w:line="252" w:lineRule="auto"/>
            </w:pPr>
            <w:r/>
            <w:r>
              <w:rPr>
                <w:rFonts w:ascii="Calibri" w:hAnsi="Calibri"/>
                <w:b w:val="0"/>
                <w:color w:val="111827"/>
                <w:sz w:val="17"/>
              </w:rPr>
              <w:t>1,874</w:t>
            </w:r>
          </w:p>
        </w:tc>
        <w:tc>
          <w:tcPr>
            <w:tcW w:type="dxa" w:w="1800"/>
            <w:vAlign w:val="center"/>
            <w:tcMar>
              <w:top w:w="80" w:type="dxa"/>
              <w:start w:w="120" w:type="dxa"/>
              <w:bottom w:w="80" w:type="dxa"/>
              <w:end w:w="120" w:type="dxa"/>
            </w:tcMar>
          </w:tcPr>
          <w:p>
            <w:pPr>
              <w:spacing w:before="0" w:after="0" w:line="252" w:lineRule="auto"/>
            </w:pPr>
            <w:r/>
            <w:r>
              <w:rPr>
                <w:rFonts w:ascii="Calibri" w:hAnsi="Calibri"/>
                <w:b w:val="0"/>
                <w:color w:val="111827"/>
                <w:sz w:val="17"/>
              </w:rPr>
              <w:t>630</w:t>
            </w:r>
          </w:p>
        </w:tc>
        <w:tc>
          <w:tcPr>
            <w:tcW w:type="dxa" w:w="1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1,244</w:t>
            </w:r>
          </w:p>
        </w:tc>
        <w:tc>
          <w:tcPr>
            <w:tcW w:type="dxa" w:w="1500"/>
            <w:vAlign w:val="center"/>
            <w:tcMar>
              <w:top w:w="80" w:type="dxa"/>
              <w:start w:w="120" w:type="dxa"/>
              <w:bottom w:w="80" w:type="dxa"/>
              <w:end w:w="120" w:type="dxa"/>
            </w:tcMar>
          </w:tcPr>
          <w:p>
            <w:pPr>
              <w:spacing w:before="0" w:after="0" w:line="252" w:lineRule="auto"/>
            </w:pPr>
            <w:r/>
            <w:r>
              <w:rPr>
                <w:rFonts w:ascii="Calibri" w:hAnsi="Calibri"/>
                <w:b w:val="0"/>
                <w:color w:val="111827"/>
                <w:sz w:val="17"/>
              </w:rPr>
              <w:t>240</w:t>
            </w:r>
          </w:p>
        </w:tc>
        <w:tc>
          <w:tcPr>
            <w:tcW w:type="dxa" w:w="1560"/>
            <w:vAlign w:val="center"/>
            <w:tcMar>
              <w:top w:w="80" w:type="dxa"/>
              <w:start w:w="120" w:type="dxa"/>
              <w:bottom w:w="80" w:type="dxa"/>
              <w:end w:w="120" w:type="dxa"/>
            </w:tcMar>
          </w:tcPr>
          <w:p>
            <w:pPr>
              <w:spacing w:before="0" w:after="0" w:line="252" w:lineRule="auto"/>
            </w:pPr>
            <w:r/>
            <w:r>
              <w:rPr>
                <w:rFonts w:ascii="Calibri" w:hAnsi="Calibri"/>
                <w:b w:val="0"/>
                <w:color w:val="111827"/>
                <w:sz w:val="17"/>
              </w:rPr>
              <w:t>55,945</w:t>
            </w:r>
          </w:p>
        </w:tc>
      </w:tr>
      <w:tr>
        <w:tc>
          <w:tcPr>
            <w:tcW w:type="dxa" w:w="15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1,280 x 900</w:t>
            </w:r>
          </w:p>
        </w:tc>
        <w:tc>
          <w:tcPr>
            <w:tcW w:type="dxa" w:w="13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1,684</w:t>
            </w:r>
          </w:p>
        </w:tc>
        <w:tc>
          <w:tcPr>
            <w:tcW w:type="dxa" w:w="18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440</w:t>
            </w:r>
          </w:p>
        </w:tc>
        <w:tc>
          <w:tcPr>
            <w:tcW w:type="dxa" w:w="17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1,244</w:t>
            </w:r>
          </w:p>
        </w:tc>
        <w:tc>
          <w:tcPr>
            <w:tcW w:type="dxa" w:w="15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240</w:t>
            </w:r>
          </w:p>
        </w:tc>
        <w:tc>
          <w:tcPr>
            <w:tcW w:type="dxa" w:w="15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55,945</w:t>
            </w:r>
          </w:p>
        </w:tc>
      </w:tr>
      <w:tr>
        <w:tc>
          <w:tcPr>
            <w:tcW w:type="dxa" w:w="1500"/>
            <w:vAlign w:val="center"/>
            <w:tcMar>
              <w:top w:w="80" w:type="dxa"/>
              <w:start w:w="120" w:type="dxa"/>
              <w:bottom w:w="80" w:type="dxa"/>
              <w:end w:w="120" w:type="dxa"/>
            </w:tcMar>
          </w:tcPr>
          <w:p>
            <w:pPr>
              <w:spacing w:before="0" w:after="0" w:line="252" w:lineRule="auto"/>
            </w:pPr>
            <w:r/>
            <w:r>
              <w:rPr>
                <w:rFonts w:ascii="Calibri" w:hAnsi="Calibri"/>
                <w:b w:val="0"/>
                <w:color w:val="111827"/>
                <w:sz w:val="17"/>
              </w:rPr>
              <w:t>1,920 x 900</w:t>
            </w:r>
          </w:p>
        </w:tc>
        <w:tc>
          <w:tcPr>
            <w:tcW w:type="dxa" w:w="1300"/>
            <w:vAlign w:val="center"/>
            <w:tcMar>
              <w:top w:w="80" w:type="dxa"/>
              <w:start w:w="120" w:type="dxa"/>
              <w:bottom w:w="80" w:type="dxa"/>
              <w:end w:w="120" w:type="dxa"/>
            </w:tcMar>
          </w:tcPr>
          <w:p>
            <w:pPr>
              <w:spacing w:before="0" w:after="0" w:line="252" w:lineRule="auto"/>
            </w:pPr>
            <w:r/>
            <w:r>
              <w:rPr>
                <w:rFonts w:ascii="Calibri" w:hAnsi="Calibri"/>
                <w:b w:val="0"/>
                <w:color w:val="111827"/>
                <w:sz w:val="17"/>
              </w:rPr>
              <w:t>1,684</w:t>
            </w:r>
          </w:p>
        </w:tc>
        <w:tc>
          <w:tcPr>
            <w:tcW w:type="dxa" w:w="1800"/>
            <w:vAlign w:val="center"/>
            <w:tcMar>
              <w:top w:w="80" w:type="dxa"/>
              <w:start w:w="120" w:type="dxa"/>
              <w:bottom w:w="80" w:type="dxa"/>
              <w:end w:w="120" w:type="dxa"/>
            </w:tcMar>
          </w:tcPr>
          <w:p>
            <w:pPr>
              <w:spacing w:before="0" w:after="0" w:line="252" w:lineRule="auto"/>
            </w:pPr>
            <w:r/>
            <w:r>
              <w:rPr>
                <w:rFonts w:ascii="Calibri" w:hAnsi="Calibri"/>
                <w:b w:val="0"/>
                <w:color w:val="111827"/>
                <w:sz w:val="17"/>
              </w:rPr>
              <w:t>440</w:t>
            </w:r>
          </w:p>
        </w:tc>
        <w:tc>
          <w:tcPr>
            <w:tcW w:type="dxa" w:w="1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1,244</w:t>
            </w:r>
          </w:p>
        </w:tc>
        <w:tc>
          <w:tcPr>
            <w:tcW w:type="dxa" w:w="1500"/>
            <w:vAlign w:val="center"/>
            <w:tcMar>
              <w:top w:w="80" w:type="dxa"/>
              <w:start w:w="120" w:type="dxa"/>
              <w:bottom w:w="80" w:type="dxa"/>
              <w:end w:w="120" w:type="dxa"/>
            </w:tcMar>
          </w:tcPr>
          <w:p>
            <w:pPr>
              <w:spacing w:before="0" w:after="0" w:line="252" w:lineRule="auto"/>
            </w:pPr>
            <w:r/>
            <w:r>
              <w:rPr>
                <w:rFonts w:ascii="Calibri" w:hAnsi="Calibri"/>
                <w:b w:val="0"/>
                <w:color w:val="111827"/>
                <w:sz w:val="17"/>
              </w:rPr>
              <w:t>240</w:t>
            </w:r>
          </w:p>
        </w:tc>
        <w:tc>
          <w:tcPr>
            <w:tcW w:type="dxa" w:w="1560"/>
            <w:vAlign w:val="center"/>
            <w:tcMar>
              <w:top w:w="80" w:type="dxa"/>
              <w:start w:w="120" w:type="dxa"/>
              <w:bottom w:w="80" w:type="dxa"/>
              <w:end w:w="120" w:type="dxa"/>
            </w:tcMar>
          </w:tcPr>
          <w:p>
            <w:pPr>
              <w:spacing w:before="0" w:after="0" w:line="252" w:lineRule="auto"/>
            </w:pPr>
            <w:r/>
            <w:r>
              <w:rPr>
                <w:rFonts w:ascii="Calibri" w:hAnsi="Calibri"/>
                <w:b w:val="0"/>
                <w:color w:val="111827"/>
                <w:sz w:val="17"/>
              </w:rPr>
              <w:t>55,945</w:t>
            </w:r>
          </w:p>
        </w:tc>
      </w:tr>
      <w:tr>
        <w:tc>
          <w:tcPr>
            <w:tcW w:type="dxa" w:w="15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2,560 x 900</w:t>
            </w:r>
          </w:p>
        </w:tc>
        <w:tc>
          <w:tcPr>
            <w:tcW w:type="dxa" w:w="13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1,684</w:t>
            </w:r>
          </w:p>
        </w:tc>
        <w:tc>
          <w:tcPr>
            <w:tcW w:type="dxa" w:w="18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440</w:t>
            </w:r>
          </w:p>
        </w:tc>
        <w:tc>
          <w:tcPr>
            <w:tcW w:type="dxa" w:w="17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1,244</w:t>
            </w:r>
          </w:p>
        </w:tc>
        <w:tc>
          <w:tcPr>
            <w:tcW w:type="dxa" w:w="15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240</w:t>
            </w:r>
          </w:p>
        </w:tc>
        <w:tc>
          <w:tcPr>
            <w:tcW w:type="dxa" w:w="15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55,945</w:t>
            </w:r>
          </w:p>
        </w:tc>
      </w:tr>
    </w:tbl>
    <w:p>
      <w:pPr>
        <w:spacing w:after="80"/>
      </w:pPr>
    </w:p>
    <w:p>
      <w:pPr>
        <w:keepNext/>
        <w:jc w:val="center"/>
      </w:pPr>
      <w:r>
        <w:drawing>
          <wp:inline xmlns:a="http://schemas.openxmlformats.org/drawingml/2006/main" xmlns:pic="http://schemas.openxmlformats.org/drawingml/2006/picture">
            <wp:extent cx="5806440" cy="3266122"/>
            <wp:docPr id="1" name="Picture 1" descr="Grouped bar chart for 800, 1280, 1920, and 2560 pixel viewports. Raw accessibility-tree nodes are 1874, 1684, 1684, and 1684; semantic candidate is 1244 at every width; InlineTextBox nodes are 630, 440, 440, and 440." title="Viewport experiment results"/>
            <wp:cNvGraphicFramePr>
              <a:graphicFrameLocks noChangeAspect="1"/>
            </wp:cNvGraphicFramePr>
            <a:graphic>
              <a:graphicData uri="http://schemas.openxmlformats.org/drawingml/2006/picture">
                <pic:pic>
                  <pic:nvPicPr>
                    <pic:cNvPr id="0" name="accessibility-tree-node-counts-not-machine-comparable-2026-viewport-results.png"/>
                    <pic:cNvPicPr/>
                  </pic:nvPicPr>
                  <pic:blipFill>
                    <a:blip r:embed="rId12"/>
                    <a:stretch>
                      <a:fillRect/>
                    </a:stretch>
                  </pic:blipFill>
                  <pic:spPr>
                    <a:xfrm>
                      <a:off x="0" y="0"/>
                      <a:ext cx="5806440" cy="3266122"/>
                    </a:xfrm>
                    <a:prstGeom prst="rect"/>
                  </pic:spPr>
                </pic:pic>
              </a:graphicData>
            </a:graphic>
          </wp:inline>
        </w:drawing>
      </w:r>
    </w:p>
    <w:p>
      <w:pPr>
        <w:pStyle w:val="Caption"/>
        <w:jc w:val="left"/>
      </w:pPr>
      <w:r>
        <w:t>Figure 1. The 800 px raw-total increase is exactly the InlineTextBox increase; raw minus InlineTextBox remains 1,244. Source: this study's frozen viewport probe.</w:t>
      </w:r>
    </w:p>
    <w:p>
      <w:pPr>
        <w:pStyle w:val="Heading1"/>
        <w:widowControl/>
      </w:pPr>
      <w:r>
        <w:rPr>
          <w:rFonts w:ascii="Calibri" w:hAnsi="Calibri"/>
        </w:rPr>
        <w:t>5. Interpreting the 440-node gap</w:t>
      </w:r>
    </w:p>
    <w:p>
      <w:pPr>
        <w:widowControl/>
      </w:pPr>
      <w:r>
        <w:rPr>
          <w:rFonts w:ascii="Calibri" w:hAnsi="Calibri"/>
        </w:rPr>
        <w:t>The later role-aware measurements make absent InlineTextBox nodes a plausible explanation for Host B's first 1,244 total, but the original run cannot prove it. In the measured role histogram, three disjoint role sets each happen to total 440: InlineTextBox; StaticText; and generic plus paragraph. Subtracting any one of those sets from 1,684 yields 1,244. Arithmetic alone therefore does not identify the missing population.</w:t>
      </w:r>
    </w:p>
    <w:p>
      <w:pPr>
        <w:widowControl/>
      </w:pPr>
      <w:r>
        <w:rPr>
          <w:rFonts w:ascii="Calibri" w:hAnsi="Calibri"/>
        </w:rPr>
        <w:t>Viewport width also does not reproduce the original 1,244 raw total in the four-width follow-up. The InlineTextBox count floors at 440 between 1,280 and 2,560 pixels and rises at 800 pixels. This favors a difference in accessibility state or consumer behavior over ordinary reflow, but that remains an inference because the first Host B tree was never enumerated by role.</w:t>
      </w:r>
    </w:p>
    <w:p>
      <w:pPr>
        <w:widowControl/>
      </w:pPr>
      <w:r>
        <w:rPr>
          <w:rFonts w:ascii="Calibri" w:hAnsi="Calibri"/>
        </w:rPr>
        <w:t>The correct public claim is therefore asymmetric. Viewport dependence of the raw count is measured. The cause of the original cross-host total is unknown. The semantic candidate reproduced in the tested conditions, but universal machine invariance is unproven.</w:t>
      </w:r>
    </w:p>
    <w:p>
      <w:r>
        <w:br w:type="page"/>
      </w:r>
    </w:p>
    <w:p>
      <w:pPr>
        <w:pStyle w:val="Heading1"/>
        <w:widowControl/>
      </w:pPr>
      <w:r>
        <w:rPr>
          <w:rFonts w:ascii="Calibri" w:hAnsi="Calibri"/>
        </w:rPr>
        <w:t>6. Proposed comparability contract</w:t>
      </w:r>
    </w:p>
    <w:p>
      <w:pPr>
        <w:widowControl/>
      </w:pPr>
      <w:r>
        <w:rPr>
          <w:rFonts w:ascii="Calibri" w:hAnsi="Calibri"/>
        </w:rPr>
        <w:t>A benchmark should treat comparability as a property of individual fields, not as a blanket boolean for an entire report. The minimum record below is designed to make a second operator capable of deciding which values can be compared and which remain environment readings.</w:t>
      </w:r>
    </w:p>
    <w:p>
      <w:pPr>
        <w:pStyle w:val="Caption"/>
      </w:pPr>
      <w:r>
        <w:t>Table 4. Minimum evidence contract for cross-machine accessibility-tree benchmarks.</w:t>
      </w:r>
    </w:p>
    <w:tbl>
      <w:tblPr>
        <w:tblStyle w:val="TableGrid"/>
        <w:tblW w:type="dxa" w:w="9360"/>
        <w:jc w:val="left"/>
        <w:tblLayout w:type="fixed"/>
        <w:tblLook w:firstColumn="1" w:firstRow="1" w:lastColumn="0" w:lastRow="0" w:noHBand="0" w:noVBand="1" w:val="04A0"/>
        <w:tblInd w:w="120" w:type="dxa"/>
      </w:tblPr>
      <w:tblGrid>
        <w:gridCol w:w="1700"/>
        <w:gridCol w:w="4700"/>
        <w:gridCol w:w="2960"/>
      </w:tblGrid>
      <w:tr>
        <w:trPr>
          <w:tblHeader w:val="true"/>
        </w:trPr>
        <w:tc>
          <w:tcPr>
            <w:tcW w:type="dxa" w:w="17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Record</w:t>
            </w:r>
          </w:p>
        </w:tc>
        <w:tc>
          <w:tcPr>
            <w:tcW w:type="dxa" w:w="47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Required evidence</w:t>
            </w:r>
          </w:p>
        </w:tc>
        <w:tc>
          <w:tcPr>
            <w:tcW w:type="dxa" w:w="296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7"/>
              </w:rPr>
              <w:t>Failure state</w:t>
            </w:r>
          </w:p>
        </w:tc>
      </w:tr>
      <w:tr>
        <w:tc>
          <w:tcPr>
            <w:tcW w:type="dxa" w:w="1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Fixture</w:t>
            </w:r>
          </w:p>
        </w:tc>
        <w:tc>
          <w:tcPr>
            <w:tcW w:type="dxa" w:w="4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Generator commit, constants, element count, content hash</w:t>
            </w:r>
          </w:p>
        </w:tc>
        <w:tc>
          <w:tcPr>
            <w:tcW w:type="dxa" w:w="2960"/>
            <w:vAlign w:val="center"/>
            <w:tcMar>
              <w:top w:w="80" w:type="dxa"/>
              <w:start w:w="120" w:type="dxa"/>
              <w:bottom w:w="80" w:type="dxa"/>
              <w:end w:w="120" w:type="dxa"/>
            </w:tcMar>
          </w:tcPr>
          <w:p>
            <w:pPr>
              <w:spacing w:before="0" w:after="0" w:line="252" w:lineRule="auto"/>
            </w:pPr>
            <w:r/>
            <w:r>
              <w:rPr>
                <w:rFonts w:ascii="Calibri" w:hAnsi="Calibri"/>
                <w:b w:val="0"/>
                <w:color w:val="111827"/>
                <w:sz w:val="17"/>
              </w:rPr>
              <w:t>Unknown fixture equivalence</w:t>
            </w:r>
          </w:p>
        </w:tc>
      </w:tr>
      <w:tr>
        <w:tc>
          <w:tcPr>
            <w:tcW w:type="dxa" w:w="17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Browser</w:t>
            </w:r>
          </w:p>
        </w:tc>
        <w:tc>
          <w:tcPr>
            <w:tcW w:type="dxa" w:w="47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Chrome product/build, V8, CDP version</w:t>
            </w:r>
          </w:p>
        </w:tc>
        <w:tc>
          <w:tcPr>
            <w:tcW w:type="dxa" w:w="29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Unknown engine equivalence</w:t>
            </w:r>
          </w:p>
        </w:tc>
      </w:tr>
      <w:tr>
        <w:tc>
          <w:tcPr>
            <w:tcW w:type="dxa" w:w="1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Viewport</w:t>
            </w:r>
          </w:p>
        </w:tc>
        <w:tc>
          <w:tcPr>
            <w:tcW w:type="dxa" w:w="4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Requested metrics plus innerWidth/innerHeight read-back</w:t>
            </w:r>
          </w:p>
        </w:tc>
        <w:tc>
          <w:tcPr>
            <w:tcW w:type="dxa" w:w="2960"/>
            <w:vAlign w:val="center"/>
            <w:tcMar>
              <w:top w:w="80" w:type="dxa"/>
              <w:start w:w="120" w:type="dxa"/>
              <w:bottom w:w="80" w:type="dxa"/>
              <w:end w:w="120" w:type="dxa"/>
            </w:tcMar>
          </w:tcPr>
          <w:p>
            <w:pPr>
              <w:spacing w:before="0" w:after="0" w:line="252" w:lineRule="auto"/>
            </w:pPr>
            <w:r/>
            <w:r>
              <w:rPr>
                <w:rFonts w:ascii="Calibri" w:hAnsi="Calibri"/>
                <w:b w:val="0"/>
                <w:color w:val="111827"/>
                <w:sz w:val="17"/>
              </w:rPr>
              <w:t>Raw count not comparable</w:t>
            </w:r>
          </w:p>
        </w:tc>
      </w:tr>
      <w:tr>
        <w:tc>
          <w:tcPr>
            <w:tcW w:type="dxa" w:w="17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Accessibility</w:t>
            </w:r>
          </w:p>
        </w:tc>
        <w:tc>
          <w:tcPr>
            <w:tcW w:type="dxa" w:w="47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Role histogram, ignored nodes, concurrent consumer/mode notes</w:t>
            </w:r>
          </w:p>
        </w:tc>
        <w:tc>
          <w:tcPr>
            <w:tcW w:type="dxa" w:w="29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Cause of count gap unknown</w:t>
            </w:r>
          </w:p>
        </w:tc>
      </w:tr>
      <w:tr>
        <w:tc>
          <w:tcPr>
            <w:tcW w:type="dxa" w:w="1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Node metrics</w:t>
            </w:r>
          </w:p>
        </w:tc>
        <w:tc>
          <w:tcPr>
            <w:tcW w:type="dxa" w:w="4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Raw, InlineTextBox, explicit semantic formula, actionable roles</w:t>
            </w:r>
          </w:p>
        </w:tc>
        <w:tc>
          <w:tcPr>
            <w:tcW w:type="dxa" w:w="2960"/>
            <w:vAlign w:val="center"/>
            <w:tcMar>
              <w:top w:w="80" w:type="dxa"/>
              <w:start w:w="120" w:type="dxa"/>
              <w:bottom w:w="80" w:type="dxa"/>
              <w:end w:w="120" w:type="dxa"/>
            </w:tcMar>
          </w:tcPr>
          <w:p>
            <w:pPr>
              <w:spacing w:before="0" w:after="0" w:line="252" w:lineRule="auto"/>
            </w:pPr>
            <w:r/>
            <w:r>
              <w:rPr>
                <w:rFonts w:ascii="Calibri" w:hAnsi="Calibri"/>
                <w:b w:val="0"/>
                <w:color w:val="111827"/>
                <w:sz w:val="17"/>
              </w:rPr>
              <w:t>Do not collapse to one ax_nodes field</w:t>
            </w:r>
          </w:p>
        </w:tc>
      </w:tr>
      <w:tr>
        <w:tc>
          <w:tcPr>
            <w:tcW w:type="dxa" w:w="17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Run protocol</w:t>
            </w:r>
          </w:p>
        </w:tc>
        <w:tc>
          <w:tcPr>
            <w:tcW w:type="dxa" w:w="47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Warm-ups, samples, settle interval, owned-tab ID</w:t>
            </w:r>
          </w:p>
        </w:tc>
        <w:tc>
          <w:tcPr>
            <w:tcW w:type="dxa" w:w="29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7"/>
              </w:rPr>
              <w:t>Timing and state not reproducible</w:t>
            </w:r>
          </w:p>
        </w:tc>
      </w:tr>
      <w:tr>
        <w:tc>
          <w:tcPr>
            <w:tcW w:type="dxa" w:w="1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Cleanup</w:t>
            </w:r>
          </w:p>
        </w:tc>
        <w:tc>
          <w:tcPr>
            <w:tcW w:type="dxa" w:w="4700"/>
            <w:vAlign w:val="center"/>
            <w:tcMar>
              <w:top w:w="80" w:type="dxa"/>
              <w:start w:w="120" w:type="dxa"/>
              <w:bottom w:w="80" w:type="dxa"/>
              <w:end w:w="120" w:type="dxa"/>
            </w:tcMar>
          </w:tcPr>
          <w:p>
            <w:pPr>
              <w:spacing w:before="0" w:after="0" w:line="252" w:lineRule="auto"/>
            </w:pPr>
            <w:r/>
            <w:r>
              <w:rPr>
                <w:rFonts w:ascii="Calibri" w:hAnsi="Calibri"/>
                <w:b w:val="0"/>
                <w:color w:val="111827"/>
                <w:sz w:val="17"/>
              </w:rPr>
              <w:t>Owned tab closed, no operator tab resized</w:t>
            </w:r>
          </w:p>
        </w:tc>
        <w:tc>
          <w:tcPr>
            <w:tcW w:type="dxa" w:w="2960"/>
            <w:vAlign w:val="center"/>
            <w:tcMar>
              <w:top w:w="80" w:type="dxa"/>
              <w:start w:w="120" w:type="dxa"/>
              <w:bottom w:w="80" w:type="dxa"/>
              <w:end w:w="120" w:type="dxa"/>
            </w:tcMar>
          </w:tcPr>
          <w:p>
            <w:pPr>
              <w:spacing w:before="0" w:after="0" w:line="252" w:lineRule="auto"/>
            </w:pPr>
            <w:r/>
            <w:r>
              <w:rPr>
                <w:rFonts w:ascii="Calibri" w:hAnsi="Calibri"/>
                <w:b w:val="0"/>
                <w:color w:val="111827"/>
                <w:sz w:val="17"/>
              </w:rPr>
              <w:t>Run hygiene unverified</w:t>
            </w:r>
          </w:p>
        </w:tc>
      </w:tr>
    </w:tbl>
    <w:p>
      <w:pPr>
        <w:spacing w:after="80"/>
      </w:pPr>
    </w:p>
    <w:p>
      <w:pPr>
        <w:pStyle w:val="Heading1"/>
        <w:widowControl/>
      </w:pPr>
      <w:r>
        <w:rPr>
          <w:rFonts w:ascii="Calibri" w:hAnsi="Calibri"/>
        </w:rPr>
        <w:t>7. Threats to validity and claim boundary</w:t>
      </w:r>
    </w:p>
    <w:p>
      <w:pPr>
        <w:widowControl/>
      </w:pPr>
      <w:r>
        <w:rPr>
          <w:rFonts w:ascii="Calibri" w:hAnsi="Calibri"/>
        </w:rPr>
        <w:t>External validity is limited. The study covers two Windows hosts, one Chrome build, one deterministic fixture, four controlled widths on one host, and one later role-aware reading on the second host. It does not test macOS, Linux, other browsers, other Chrome versions, zoom, device scale factors other than 1, assistive-technology combinations, or arbitrary production pages.</w:t>
      </w:r>
    </w:p>
    <w:p>
      <w:pPr>
        <w:widowControl/>
      </w:pPr>
      <w:r>
        <w:rPr>
          <w:rFonts w:ascii="Calibri" w:hAnsi="Calibri"/>
        </w:rPr>
        <w:t>Construct validity is also bounded. The semantic candidate removes InlineTextBox because that role was the layout-derived population observed here. CDP does not define ax_nodes_semantic as a standard metric. A future browser version or page class may contain other layout-sensitive roles. Role histograms and explicit definitions must accompany the number.</w:t>
      </w:r>
    </w:p>
    <w:p>
      <w:pPr>
        <w:widowControl/>
      </w:pPr>
      <w:r>
        <w:rPr>
          <w:rFonts w:ascii="Calibri" w:hAnsi="Calibri"/>
        </w:rPr>
        <w:t>The original cross-host run did not pin or record all window and accessibility conditions. It also did not perform a pixel comparison of screenshots; an 8% difference in PNG bytes is therefore only a payload observation, not proof of a visual difference. Timing differences cannot be attributed to CPU count, operating system, tree size, or Python version because those variables changed together.</w:t>
      </w:r>
    </w:p>
    <w:p>
      <w:pPr>
        <w:widowControl/>
      </w:pPr>
      <w:r>
        <w:rPr>
          <w:rFonts w:ascii="Calibri" w:hAnsi="Calibri"/>
        </w:rPr>
        <w:t>This manuscript is an independent research preprint. It has not been accepted, published, certified, or peer reviewed by IEEE, ACM, W3C, Google, or another standards body or publisher. WAI-ARIA and CDP are cited as primary technical references, not as endorsements of this metric [1][2][3].</w:t>
      </w:r>
    </w:p>
    <w:p>
      <w:pPr>
        <w:pStyle w:val="Heading1"/>
        <w:widowControl/>
      </w:pPr>
      <w:r>
        <w:rPr>
          <w:rFonts w:ascii="Calibri" w:hAnsi="Calibri"/>
        </w:rPr>
        <w:t>8. Reproducibility protocol</w:t>
      </w:r>
    </w:p>
    <w:p>
      <w:pPr>
        <w:widowControl/>
      </w:pPr>
      <w:r>
        <w:rPr>
          <w:rFonts w:ascii="Calibri" w:hAnsi="Calibri"/>
        </w:rPr>
        <w:t>Use the exact benchmark commit recorded on the cover and in Appendix B. Run only against a tab created by the harness. Record browser product, V8, protocol version, operating system, Python version, fixture constants, requested viewport, read-back inner dimensions, role histogram, ignored count, actionable count, and cleanup result. Preserve raw JSON rather than only a prose summary.</w:t>
      </w:r>
    </w:p>
    <w:p>
      <w:pPr>
        <w:widowControl/>
      </w:pPr>
      <w:r>
        <w:rPr>
          <w:rFonts w:ascii="Calibri" w:hAnsi="Calibri"/>
        </w:rPr>
        <w:t>For every cross-machine comparison, report raw nodes, InlineTextBox nodes, and the explicitly defined semantic candidate side by side. If the role histogram or viewport read-back is absent, mark raw node comparability unknown. Do not infer a role population from a total alone. The benchmark implementation, cross-machine report, and source repository are linked in the references [4][5][6].</w:t>
      </w:r>
    </w:p>
    <w:p>
      <w:pPr>
        <w:pStyle w:val="Heading1"/>
        <w:widowControl/>
      </w:pPr>
      <w:r>
        <w:rPr>
          <w:rFonts w:ascii="Calibri" w:hAnsi="Calibri"/>
        </w:rPr>
        <w:t>9. Conclusion</w:t>
      </w:r>
    </w:p>
    <w:p>
      <w:pPr>
        <w:widowControl/>
      </w:pPr>
      <w:r>
        <w:rPr>
          <w:rFonts w:ascii="Calibri" w:hAnsi="Calibri"/>
        </w:rPr>
        <w:t>A raw accessibility-tree total is not portable by default. In this experiment it moved by 190 nodes when only viewport width changed, and the movement was exactly the InlineTextBox delta. The two-host record also shows why an unexplained total must remain unexplained: the original 440-node gap cannot be assigned to a role that was never captured.</w:t>
      </w:r>
    </w:p>
    <w:p>
      <w:pPr>
        <w:widowControl/>
      </w:pPr>
      <w:r>
        <w:rPr>
          <w:rFonts w:ascii="Calibri" w:hAnsi="Calibri"/>
        </w:rPr>
        <w:t>The practical remedy is a better measurement contract, not a more confident number. Pin and verify the environment, preserve role-level evidence, separate layout-derived and semantic candidates, and state comparability field by field. Under that contract, unknown remains unknown, and a repeated value earns a scoped claim instead of an unearned universal one.</w:t>
      </w:r>
    </w:p>
    <w:p>
      <w:pPr>
        <w:pStyle w:val="Heading1"/>
        <w:widowControl/>
      </w:pPr>
      <w:r>
        <w:rPr>
          <w:rFonts w:ascii="Calibri" w:hAnsi="Calibri"/>
        </w:rPr>
        <w:t>Appendix A. Role histogram at 1,280 px</w:t>
      </w:r>
    </w:p>
    <w:p>
      <w:pPr>
        <w:widowControl/>
      </w:pPr>
      <w:r>
        <w:rPr>
          <w:rFonts w:ascii="Calibri" w:hAnsi="Calibri"/>
        </w:rPr>
        <w:t>The histogram below accounts for all 1,684 nodes measured on Host A at 1,280 x 900. The two actionable roles sum to 240. The two ignored nodes carry role none.</w:t>
      </w:r>
    </w:p>
    <w:tbl>
      <w:tblPr>
        <w:tblStyle w:val="TableGrid"/>
        <w:tblW w:type="dxa" w:w="9360"/>
        <w:jc w:val="left"/>
        <w:tblLayout w:type="fixed"/>
        <w:tblLook w:firstColumn="1" w:firstRow="1" w:lastColumn="0" w:lastRow="0" w:noHBand="0" w:noVBand="1" w:val="04A0"/>
        <w:tblInd w:w="120" w:type="dxa"/>
      </w:tblPr>
      <w:tblGrid>
        <w:gridCol w:w="2400"/>
        <w:gridCol w:w="1200"/>
        <w:gridCol w:w="5760"/>
      </w:tblGrid>
      <w:tr>
        <w:trPr>
          <w:tblHeader w:val="true"/>
        </w:trPr>
        <w:tc>
          <w:tcPr>
            <w:tcW w:type="dxa" w:w="24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8"/>
              </w:rPr>
              <w:t>Role at 1,280 px</w:t>
            </w:r>
          </w:p>
        </w:tc>
        <w:tc>
          <w:tcPr>
            <w:tcW w:type="dxa" w:w="12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8"/>
              </w:rPr>
              <w:t>Count</w:t>
            </w:r>
          </w:p>
        </w:tc>
        <w:tc>
          <w:tcPr>
            <w:tcW w:type="dxa" w:w="576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8"/>
              </w:rPr>
              <w:t>Interpretation in this fixture</w:t>
            </w:r>
          </w:p>
        </w:tc>
      </w:tr>
      <w:tr>
        <w:tc>
          <w:tcPr>
            <w:tcW w:type="dxa" w:w="2400"/>
            <w:vAlign w:val="center"/>
            <w:tcMar>
              <w:top w:w="80" w:type="dxa"/>
              <w:start w:w="120" w:type="dxa"/>
              <w:bottom w:w="80" w:type="dxa"/>
              <w:end w:w="120" w:type="dxa"/>
            </w:tcMar>
          </w:tcPr>
          <w:p>
            <w:pPr>
              <w:spacing w:before="0" w:after="0" w:line="252" w:lineRule="auto"/>
            </w:pPr>
            <w:r/>
            <w:r>
              <w:rPr>
                <w:rFonts w:ascii="Calibri" w:hAnsi="Calibri"/>
                <w:b w:val="0"/>
                <w:color w:val="111827"/>
                <w:sz w:val="18"/>
              </w:rPr>
              <w:t>StaticText</w:t>
            </w:r>
          </w:p>
        </w:tc>
        <w:tc>
          <w:tcPr>
            <w:tcW w:type="dxa" w:w="1200"/>
            <w:vAlign w:val="center"/>
            <w:tcMar>
              <w:top w:w="80" w:type="dxa"/>
              <w:start w:w="120" w:type="dxa"/>
              <w:bottom w:w="80" w:type="dxa"/>
              <w:end w:w="120" w:type="dxa"/>
            </w:tcMar>
          </w:tcPr>
          <w:p>
            <w:pPr>
              <w:spacing w:before="0" w:after="0" w:line="252" w:lineRule="auto"/>
            </w:pPr>
            <w:r/>
            <w:r>
              <w:rPr>
                <w:rFonts w:ascii="Calibri" w:hAnsi="Calibri"/>
                <w:b w:val="0"/>
                <w:color w:val="111827"/>
                <w:sz w:val="18"/>
              </w:rPr>
              <w:t>440</w:t>
            </w:r>
          </w:p>
        </w:tc>
        <w:tc>
          <w:tcPr>
            <w:tcW w:type="dxa" w:w="5760"/>
            <w:vAlign w:val="center"/>
            <w:tcMar>
              <w:top w:w="80" w:type="dxa"/>
              <w:start w:w="120" w:type="dxa"/>
              <w:bottom w:w="80" w:type="dxa"/>
              <w:end w:w="120" w:type="dxa"/>
            </w:tcMar>
          </w:tcPr>
          <w:p>
            <w:pPr>
              <w:spacing w:before="0" w:after="0" w:line="252" w:lineRule="auto"/>
            </w:pPr>
            <w:r/>
            <w:r>
              <w:rPr>
                <w:rFonts w:ascii="Calibri" w:hAnsi="Calibri"/>
                <w:b w:val="0"/>
                <w:color w:val="111827"/>
                <w:sz w:val="18"/>
              </w:rPr>
              <w:t>Text-bearing semantic nodes</w:t>
            </w:r>
          </w:p>
        </w:tc>
      </w:tr>
      <w:tr>
        <w:tc>
          <w:tcPr>
            <w:tcW w:type="dxa" w:w="24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InlineTextBox</w:t>
            </w:r>
          </w:p>
        </w:tc>
        <w:tc>
          <w:tcPr>
            <w:tcW w:type="dxa" w:w="12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440</w:t>
            </w:r>
          </w:p>
        </w:tc>
        <w:tc>
          <w:tcPr>
            <w:tcW w:type="dxa" w:w="57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Layout-derived text runs</w:t>
            </w:r>
          </w:p>
        </w:tc>
      </w:tr>
      <w:tr>
        <w:tc>
          <w:tcPr>
            <w:tcW w:type="dxa" w:w="2400"/>
            <w:vAlign w:val="center"/>
            <w:tcMar>
              <w:top w:w="80" w:type="dxa"/>
              <w:start w:w="120" w:type="dxa"/>
              <w:bottom w:w="80" w:type="dxa"/>
              <w:end w:w="120" w:type="dxa"/>
            </w:tcMar>
          </w:tcPr>
          <w:p>
            <w:pPr>
              <w:spacing w:before="0" w:after="0" w:line="252" w:lineRule="auto"/>
            </w:pPr>
            <w:r/>
            <w:r>
              <w:rPr>
                <w:rFonts w:ascii="Calibri" w:hAnsi="Calibri"/>
                <w:b w:val="0"/>
                <w:color w:val="111827"/>
                <w:sz w:val="18"/>
              </w:rPr>
              <w:t>generic</w:t>
            </w:r>
          </w:p>
        </w:tc>
        <w:tc>
          <w:tcPr>
            <w:tcW w:type="dxa" w:w="1200"/>
            <w:vAlign w:val="center"/>
            <w:tcMar>
              <w:top w:w="80" w:type="dxa"/>
              <w:start w:w="120" w:type="dxa"/>
              <w:bottom w:w="80" w:type="dxa"/>
              <w:end w:w="120" w:type="dxa"/>
            </w:tcMar>
          </w:tcPr>
          <w:p>
            <w:pPr>
              <w:spacing w:before="0" w:after="0" w:line="252" w:lineRule="auto"/>
            </w:pPr>
            <w:r/>
            <w:r>
              <w:rPr>
                <w:rFonts w:ascii="Calibri" w:hAnsi="Calibri"/>
                <w:b w:val="0"/>
                <w:color w:val="111827"/>
                <w:sz w:val="18"/>
              </w:rPr>
              <w:t>240</w:t>
            </w:r>
          </w:p>
        </w:tc>
        <w:tc>
          <w:tcPr>
            <w:tcW w:type="dxa" w:w="5760"/>
            <w:vAlign w:val="center"/>
            <w:tcMar>
              <w:top w:w="80" w:type="dxa"/>
              <w:start w:w="120" w:type="dxa"/>
              <w:bottom w:w="80" w:type="dxa"/>
              <w:end w:w="120" w:type="dxa"/>
            </w:tcMar>
          </w:tcPr>
          <w:p>
            <w:pPr>
              <w:spacing w:before="0" w:after="0" w:line="252" w:lineRule="auto"/>
            </w:pPr>
            <w:r/>
            <w:r>
              <w:rPr>
                <w:rFonts w:ascii="Calibri" w:hAnsi="Calibri"/>
                <w:b w:val="0"/>
                <w:color w:val="111827"/>
                <w:sz w:val="18"/>
              </w:rPr>
              <w:t>Form-row wrappers</w:t>
            </w:r>
          </w:p>
        </w:tc>
      </w:tr>
      <w:tr>
        <w:tc>
          <w:tcPr>
            <w:tcW w:type="dxa" w:w="24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paragraph</w:t>
            </w:r>
          </w:p>
        </w:tc>
        <w:tc>
          <w:tcPr>
            <w:tcW w:type="dxa" w:w="12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200</w:t>
            </w:r>
          </w:p>
        </w:tc>
        <w:tc>
          <w:tcPr>
            <w:tcW w:type="dxa" w:w="57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Fixed-copy blocks</w:t>
            </w:r>
          </w:p>
        </w:tc>
      </w:tr>
      <w:tr>
        <w:tc>
          <w:tcPr>
            <w:tcW w:type="dxa" w:w="2400"/>
            <w:vAlign w:val="center"/>
            <w:tcMar>
              <w:top w:w="80" w:type="dxa"/>
              <w:start w:w="120" w:type="dxa"/>
              <w:bottom w:w="80" w:type="dxa"/>
              <w:end w:w="120" w:type="dxa"/>
            </w:tcMar>
          </w:tcPr>
          <w:p>
            <w:pPr>
              <w:spacing w:before="0" w:after="0" w:line="252" w:lineRule="auto"/>
            </w:pPr>
            <w:r/>
            <w:r>
              <w:rPr>
                <w:rFonts w:ascii="Calibri" w:hAnsi="Calibri"/>
                <w:b w:val="0"/>
                <w:color w:val="111827"/>
                <w:sz w:val="18"/>
              </w:rPr>
              <w:t>LabelText</w:t>
            </w:r>
          </w:p>
        </w:tc>
        <w:tc>
          <w:tcPr>
            <w:tcW w:type="dxa" w:w="1200"/>
            <w:vAlign w:val="center"/>
            <w:tcMar>
              <w:top w:w="80" w:type="dxa"/>
              <w:start w:w="120" w:type="dxa"/>
              <w:bottom w:w="80" w:type="dxa"/>
              <w:end w:w="120" w:type="dxa"/>
            </w:tcMar>
          </w:tcPr>
          <w:p>
            <w:pPr>
              <w:spacing w:before="0" w:after="0" w:line="252" w:lineRule="auto"/>
            </w:pPr>
            <w:r/>
            <w:r>
              <w:rPr>
                <w:rFonts w:ascii="Calibri" w:hAnsi="Calibri"/>
                <w:b w:val="0"/>
                <w:color w:val="111827"/>
                <w:sz w:val="18"/>
              </w:rPr>
              <w:t>120</w:t>
            </w:r>
          </w:p>
        </w:tc>
        <w:tc>
          <w:tcPr>
            <w:tcW w:type="dxa" w:w="5760"/>
            <w:vAlign w:val="center"/>
            <w:tcMar>
              <w:top w:w="80" w:type="dxa"/>
              <w:start w:w="120" w:type="dxa"/>
              <w:bottom w:w="80" w:type="dxa"/>
              <w:end w:w="120" w:type="dxa"/>
            </w:tcMar>
          </w:tcPr>
          <w:p>
            <w:pPr>
              <w:spacing w:before="0" w:after="0" w:line="252" w:lineRule="auto"/>
            </w:pPr>
            <w:r/>
            <w:r>
              <w:rPr>
                <w:rFonts w:ascii="Calibri" w:hAnsi="Calibri"/>
                <w:b w:val="0"/>
                <w:color w:val="111827"/>
                <w:sz w:val="18"/>
              </w:rPr>
              <w:t>Form labels</w:t>
            </w:r>
          </w:p>
        </w:tc>
      </w:tr>
      <w:tr>
        <w:tc>
          <w:tcPr>
            <w:tcW w:type="dxa" w:w="24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textbox</w:t>
            </w:r>
          </w:p>
        </w:tc>
        <w:tc>
          <w:tcPr>
            <w:tcW w:type="dxa" w:w="12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120</w:t>
            </w:r>
          </w:p>
        </w:tc>
        <w:tc>
          <w:tcPr>
            <w:tcW w:type="dxa" w:w="57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Actionable controls</w:t>
            </w:r>
          </w:p>
        </w:tc>
      </w:tr>
      <w:tr>
        <w:tc>
          <w:tcPr>
            <w:tcW w:type="dxa" w:w="2400"/>
            <w:vAlign w:val="center"/>
            <w:tcMar>
              <w:top w:w="80" w:type="dxa"/>
              <w:start w:w="120" w:type="dxa"/>
              <w:bottom w:w="80" w:type="dxa"/>
              <w:end w:w="120" w:type="dxa"/>
            </w:tcMar>
          </w:tcPr>
          <w:p>
            <w:pPr>
              <w:spacing w:before="0" w:after="0" w:line="252" w:lineRule="auto"/>
            </w:pPr>
            <w:r/>
            <w:r>
              <w:rPr>
                <w:rFonts w:ascii="Calibri" w:hAnsi="Calibri"/>
                <w:b w:val="0"/>
                <w:color w:val="111827"/>
                <w:sz w:val="18"/>
              </w:rPr>
              <w:t>button</w:t>
            </w:r>
          </w:p>
        </w:tc>
        <w:tc>
          <w:tcPr>
            <w:tcW w:type="dxa" w:w="1200"/>
            <w:vAlign w:val="center"/>
            <w:tcMar>
              <w:top w:w="80" w:type="dxa"/>
              <w:start w:w="120" w:type="dxa"/>
              <w:bottom w:w="80" w:type="dxa"/>
              <w:end w:w="120" w:type="dxa"/>
            </w:tcMar>
          </w:tcPr>
          <w:p>
            <w:pPr>
              <w:spacing w:before="0" w:after="0" w:line="252" w:lineRule="auto"/>
            </w:pPr>
            <w:r/>
            <w:r>
              <w:rPr>
                <w:rFonts w:ascii="Calibri" w:hAnsi="Calibri"/>
                <w:b w:val="0"/>
                <w:color w:val="111827"/>
                <w:sz w:val="18"/>
              </w:rPr>
              <w:t>120</w:t>
            </w:r>
          </w:p>
        </w:tc>
        <w:tc>
          <w:tcPr>
            <w:tcW w:type="dxa" w:w="5760"/>
            <w:vAlign w:val="center"/>
            <w:tcMar>
              <w:top w:w="80" w:type="dxa"/>
              <w:start w:w="120" w:type="dxa"/>
              <w:bottom w:w="80" w:type="dxa"/>
              <w:end w:w="120" w:type="dxa"/>
            </w:tcMar>
          </w:tcPr>
          <w:p>
            <w:pPr>
              <w:spacing w:before="0" w:after="0" w:line="252" w:lineRule="auto"/>
            </w:pPr>
            <w:r/>
            <w:r>
              <w:rPr>
                <w:rFonts w:ascii="Calibri" w:hAnsi="Calibri"/>
                <w:b w:val="0"/>
                <w:color w:val="111827"/>
                <w:sz w:val="18"/>
              </w:rPr>
              <w:t>Actionable controls</w:t>
            </w:r>
          </w:p>
        </w:tc>
      </w:tr>
      <w:tr>
        <w:tc>
          <w:tcPr>
            <w:tcW w:type="dxa" w:w="24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none</w:t>
            </w:r>
          </w:p>
        </w:tc>
        <w:tc>
          <w:tcPr>
            <w:tcW w:type="dxa" w:w="12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2</w:t>
            </w:r>
          </w:p>
        </w:tc>
        <w:tc>
          <w:tcPr>
            <w:tcW w:type="dxa" w:w="57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Ignored nodes</w:t>
            </w:r>
          </w:p>
        </w:tc>
      </w:tr>
      <w:tr>
        <w:tc>
          <w:tcPr>
            <w:tcW w:type="dxa" w:w="2400"/>
            <w:vAlign w:val="center"/>
            <w:tcMar>
              <w:top w:w="80" w:type="dxa"/>
              <w:start w:w="120" w:type="dxa"/>
              <w:bottom w:w="80" w:type="dxa"/>
              <w:end w:w="120" w:type="dxa"/>
            </w:tcMar>
          </w:tcPr>
          <w:p>
            <w:pPr>
              <w:spacing w:before="0" w:after="0" w:line="252" w:lineRule="auto"/>
            </w:pPr>
            <w:r/>
            <w:r>
              <w:rPr>
                <w:rFonts w:ascii="Calibri" w:hAnsi="Calibri"/>
                <w:b w:val="0"/>
                <w:color w:val="111827"/>
                <w:sz w:val="18"/>
              </w:rPr>
              <w:t>RootWebArea</w:t>
            </w:r>
          </w:p>
        </w:tc>
        <w:tc>
          <w:tcPr>
            <w:tcW w:type="dxa" w:w="1200"/>
            <w:vAlign w:val="center"/>
            <w:tcMar>
              <w:top w:w="80" w:type="dxa"/>
              <w:start w:w="120" w:type="dxa"/>
              <w:bottom w:w="80" w:type="dxa"/>
              <w:end w:w="120" w:type="dxa"/>
            </w:tcMar>
          </w:tcPr>
          <w:p>
            <w:pPr>
              <w:spacing w:before="0" w:after="0" w:line="252" w:lineRule="auto"/>
            </w:pPr>
            <w:r/>
            <w:r>
              <w:rPr>
                <w:rFonts w:ascii="Calibri" w:hAnsi="Calibri"/>
                <w:b w:val="0"/>
                <w:color w:val="111827"/>
                <w:sz w:val="18"/>
              </w:rPr>
              <w:t>1</w:t>
            </w:r>
          </w:p>
        </w:tc>
        <w:tc>
          <w:tcPr>
            <w:tcW w:type="dxa" w:w="5760"/>
            <w:vAlign w:val="center"/>
            <w:tcMar>
              <w:top w:w="80" w:type="dxa"/>
              <w:start w:w="120" w:type="dxa"/>
              <w:bottom w:w="80" w:type="dxa"/>
              <w:end w:w="120" w:type="dxa"/>
            </w:tcMar>
          </w:tcPr>
          <w:p>
            <w:pPr>
              <w:spacing w:before="0" w:after="0" w:line="252" w:lineRule="auto"/>
            </w:pPr>
            <w:r/>
            <w:r>
              <w:rPr>
                <w:rFonts w:ascii="Calibri" w:hAnsi="Calibri"/>
                <w:b w:val="0"/>
                <w:color w:val="111827"/>
                <w:sz w:val="18"/>
              </w:rPr>
              <w:t>Root</w:t>
            </w:r>
          </w:p>
        </w:tc>
      </w:tr>
      <w:tr>
        <w:tc>
          <w:tcPr>
            <w:tcW w:type="dxa" w:w="24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main</w:t>
            </w:r>
          </w:p>
        </w:tc>
        <w:tc>
          <w:tcPr>
            <w:tcW w:type="dxa" w:w="12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1</w:t>
            </w:r>
          </w:p>
        </w:tc>
        <w:tc>
          <w:tcPr>
            <w:tcW w:type="dxa" w:w="57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8"/>
              </w:rPr>
              <w:t>Fixture container</w:t>
            </w:r>
          </w:p>
        </w:tc>
      </w:tr>
    </w:tbl>
    <w:p>
      <w:pPr>
        <w:spacing w:after="80"/>
      </w:pPr>
    </w:p>
    <w:p>
      <w:r>
        <w:br w:type="page"/>
      </w:r>
    </w:p>
    <w:p>
      <w:pPr>
        <w:pStyle w:val="Heading1"/>
        <w:widowControl/>
      </w:pPr>
      <w:r>
        <w:rPr>
          <w:rFonts w:ascii="Calibri" w:hAnsi="Calibri"/>
        </w:rPr>
        <w:t>Appendix B. Frozen evidence manifest</w:t>
      </w:r>
    </w:p>
    <w:p>
      <w:pPr>
        <w:widowControl/>
      </w:pPr>
      <w:r>
        <w:rPr>
          <w:rFonts w:ascii="Calibri" w:hAnsi="Calibri"/>
        </w:rPr>
        <w:t>The local evidence named below was hashed before manuscript generation. GitHub source files were fetched from commit d19cd02227979b70596dbc440e06f1e08a52e659; the viewport probe is the same-run local JSON record used for Tables 3 and 4.</w:t>
      </w:r>
    </w:p>
    <w:tbl>
      <w:tblPr>
        <w:tblStyle w:val="TableGrid"/>
        <w:tblW w:type="dxa" w:w="9360"/>
        <w:jc w:val="left"/>
        <w:tblLayout w:type="fixed"/>
        <w:tblLook w:firstColumn="1" w:firstRow="1" w:lastColumn="0" w:lastRow="0" w:noHBand="0" w:noVBand="1" w:val="04A0"/>
        <w:tblInd w:w="120" w:type="dxa"/>
      </w:tblPr>
      <w:tblGrid>
        <w:gridCol w:w="3000"/>
        <w:gridCol w:w="1100"/>
        <w:gridCol w:w="5260"/>
      </w:tblGrid>
      <w:tr>
        <w:trPr>
          <w:tblHeader w:val="true"/>
        </w:trPr>
        <w:tc>
          <w:tcPr>
            <w:tcW w:type="dxa" w:w="30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5"/>
              </w:rPr>
              <w:t>Evidence</w:t>
            </w:r>
          </w:p>
        </w:tc>
        <w:tc>
          <w:tcPr>
            <w:tcW w:type="dxa" w:w="110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5"/>
              </w:rPr>
              <w:t>Bytes</w:t>
            </w:r>
          </w:p>
        </w:tc>
        <w:tc>
          <w:tcPr>
            <w:tcW w:type="dxa" w:w="5260"/>
            <w:vAlign w:val="center"/>
            <w:shd w:fill="0B2545"/>
            <w:tcMar>
              <w:top w:w="80" w:type="dxa"/>
              <w:start w:w="120" w:type="dxa"/>
              <w:bottom w:w="80" w:type="dxa"/>
              <w:end w:w="120" w:type="dxa"/>
            </w:tcMar>
          </w:tcPr>
          <w:p>
            <w:pPr>
              <w:spacing w:before="0" w:after="0" w:line="252" w:lineRule="auto"/>
            </w:pPr>
            <w:r/>
            <w:r>
              <w:rPr>
                <w:rFonts w:ascii="Calibri" w:hAnsi="Calibri"/>
                <w:b/>
                <w:color w:val="FFFFFF"/>
                <w:sz w:val="15"/>
              </w:rPr>
              <w:t>SHA-256</w:t>
            </w:r>
          </w:p>
        </w:tc>
      </w:tr>
      <w:tr>
        <w:tc>
          <w:tcPr>
            <w:tcW w:type="dxa" w:w="3000"/>
            <w:vAlign w:val="center"/>
            <w:tcMar>
              <w:top w:w="80" w:type="dxa"/>
              <w:start w:w="120" w:type="dxa"/>
              <w:bottom w:w="80" w:type="dxa"/>
              <w:end w:w="120" w:type="dxa"/>
            </w:tcMar>
          </w:tcPr>
          <w:p>
            <w:pPr>
              <w:spacing w:before="0" w:after="0" w:line="252" w:lineRule="auto"/>
            </w:pPr>
            <w:r/>
            <w:r>
              <w:rPr>
                <w:rFonts w:ascii="Calibri" w:hAnsi="Calibri"/>
                <w:b w:val="0"/>
                <w:color w:val="111827"/>
                <w:sz w:val="15"/>
              </w:rPr>
              <w:t>viewport_probe</w:t>
            </w:r>
          </w:p>
        </w:tc>
        <w:tc>
          <w:tcPr>
            <w:tcW w:type="dxa" w:w="1100"/>
            <w:vAlign w:val="center"/>
            <w:tcMar>
              <w:top w:w="80" w:type="dxa"/>
              <w:start w:w="120" w:type="dxa"/>
              <w:bottom w:w="80" w:type="dxa"/>
              <w:end w:w="120" w:type="dxa"/>
            </w:tcMar>
          </w:tcPr>
          <w:p>
            <w:pPr>
              <w:spacing w:before="0" w:after="0" w:line="252" w:lineRule="auto"/>
            </w:pPr>
            <w:r/>
            <w:r>
              <w:rPr>
                <w:rFonts w:ascii="Calibri" w:hAnsi="Calibri"/>
                <w:b w:val="0"/>
                <w:color w:val="111827"/>
                <w:sz w:val="15"/>
              </w:rPr>
              <w:t>3,143</w:t>
            </w:r>
          </w:p>
        </w:tc>
        <w:tc>
          <w:tcPr>
            <w:tcW w:type="dxa" w:w="5260"/>
            <w:vAlign w:val="center"/>
            <w:tcMar>
              <w:top w:w="80" w:type="dxa"/>
              <w:start w:w="120" w:type="dxa"/>
              <w:bottom w:w="80" w:type="dxa"/>
              <w:end w:w="120" w:type="dxa"/>
            </w:tcMar>
          </w:tcPr>
          <w:p>
            <w:pPr>
              <w:spacing w:before="0" w:after="0" w:line="252" w:lineRule="auto"/>
            </w:pPr>
            <w:r/>
            <w:r>
              <w:rPr>
                <w:rFonts w:ascii="Calibri" w:hAnsi="Calibri"/>
                <w:b w:val="0"/>
                <w:color w:val="111827"/>
                <w:sz w:val="15"/>
              </w:rPr>
              <w:t>7783ea62f718c9ddaa6a10bc7d2efcc5399c4678b8ec3bc2b25ffe751f67fcc9</w:t>
            </w:r>
          </w:p>
        </w:tc>
      </w:tr>
      <w:tr>
        <w:tc>
          <w:tcPr>
            <w:tcW w:type="dxa" w:w="30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5"/>
              </w:rPr>
              <w:t>benchmark_script</w:t>
            </w:r>
          </w:p>
        </w:tc>
        <w:tc>
          <w:tcPr>
            <w:tcW w:type="dxa" w:w="11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5"/>
              </w:rPr>
              <w:t>34,483</w:t>
            </w:r>
          </w:p>
        </w:tc>
        <w:tc>
          <w:tcPr>
            <w:tcW w:type="dxa" w:w="52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5"/>
              </w:rPr>
              <w:t>9a59078f237454452db678146825c5600f5b4bc1e79456019aafe595c507b2b1</w:t>
            </w:r>
          </w:p>
        </w:tc>
      </w:tr>
      <w:tr>
        <w:tc>
          <w:tcPr>
            <w:tcW w:type="dxa" w:w="3000"/>
            <w:vAlign w:val="center"/>
            <w:tcMar>
              <w:top w:w="80" w:type="dxa"/>
              <w:start w:w="120" w:type="dxa"/>
              <w:bottom w:w="80" w:type="dxa"/>
              <w:end w:w="120" w:type="dxa"/>
            </w:tcMar>
          </w:tcPr>
          <w:p>
            <w:pPr>
              <w:spacing w:before="0" w:after="0" w:line="252" w:lineRule="auto"/>
            </w:pPr>
            <w:r/>
            <w:r>
              <w:rPr>
                <w:rFonts w:ascii="Calibri" w:hAnsi="Calibri"/>
                <w:b w:val="0"/>
                <w:color w:val="111827"/>
                <w:sz w:val="15"/>
              </w:rPr>
              <w:t>cross_machine_report</w:t>
            </w:r>
          </w:p>
        </w:tc>
        <w:tc>
          <w:tcPr>
            <w:tcW w:type="dxa" w:w="1100"/>
            <w:vAlign w:val="center"/>
            <w:tcMar>
              <w:top w:w="80" w:type="dxa"/>
              <w:start w:w="120" w:type="dxa"/>
              <w:bottom w:w="80" w:type="dxa"/>
              <w:end w:w="120" w:type="dxa"/>
            </w:tcMar>
          </w:tcPr>
          <w:p>
            <w:pPr>
              <w:spacing w:before="0" w:after="0" w:line="252" w:lineRule="auto"/>
            </w:pPr>
            <w:r/>
            <w:r>
              <w:rPr>
                <w:rFonts w:ascii="Calibri" w:hAnsi="Calibri"/>
                <w:b w:val="0"/>
                <w:color w:val="111827"/>
                <w:sz w:val="15"/>
              </w:rPr>
              <w:t>7,847</w:t>
            </w:r>
          </w:p>
        </w:tc>
        <w:tc>
          <w:tcPr>
            <w:tcW w:type="dxa" w:w="5260"/>
            <w:vAlign w:val="center"/>
            <w:tcMar>
              <w:top w:w="80" w:type="dxa"/>
              <w:start w:w="120" w:type="dxa"/>
              <w:bottom w:w="80" w:type="dxa"/>
              <w:end w:w="120" w:type="dxa"/>
            </w:tcMar>
          </w:tcPr>
          <w:p>
            <w:pPr>
              <w:spacing w:before="0" w:after="0" w:line="252" w:lineRule="auto"/>
            </w:pPr>
            <w:r/>
            <w:r>
              <w:rPr>
                <w:rFonts w:ascii="Calibri" w:hAnsi="Calibri"/>
                <w:b w:val="0"/>
                <w:color w:val="111827"/>
                <w:sz w:val="15"/>
              </w:rPr>
              <w:t>0985193fe6b34ec1b2be248404b2b6dd82fddfeaa4bc8f4c2ad8532f98cb4188</w:t>
            </w:r>
          </w:p>
        </w:tc>
      </w:tr>
      <w:tr>
        <w:tc>
          <w:tcPr>
            <w:tcW w:type="dxa" w:w="30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5"/>
              </w:rPr>
              <w:t>repository_readme</w:t>
            </w:r>
          </w:p>
        </w:tc>
        <w:tc>
          <w:tcPr>
            <w:tcW w:type="dxa" w:w="110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5"/>
              </w:rPr>
              <w:t>9,874</w:t>
            </w:r>
          </w:p>
        </w:tc>
        <w:tc>
          <w:tcPr>
            <w:tcW w:type="dxa" w:w="5260"/>
            <w:vAlign w:val="center"/>
            <w:shd w:fill="F2F4F7"/>
            <w:tcMar>
              <w:top w:w="80" w:type="dxa"/>
              <w:start w:w="120" w:type="dxa"/>
              <w:bottom w:w="80" w:type="dxa"/>
              <w:end w:w="120" w:type="dxa"/>
            </w:tcMar>
          </w:tcPr>
          <w:p>
            <w:pPr>
              <w:spacing w:before="0" w:after="0" w:line="252" w:lineRule="auto"/>
            </w:pPr>
            <w:r/>
            <w:r>
              <w:rPr>
                <w:rFonts w:ascii="Calibri" w:hAnsi="Calibri"/>
                <w:b w:val="0"/>
                <w:color w:val="111827"/>
                <w:sz w:val="15"/>
              </w:rPr>
              <w:t>dcd0109192d7f421e27634c6e534d5e9087902f69f6464cc787ce68b8d3f89be</w:t>
            </w:r>
          </w:p>
        </w:tc>
      </w:tr>
    </w:tbl>
    <w:p>
      <w:pPr>
        <w:spacing w:after="80"/>
      </w:pPr>
    </w:p>
    <w:p>
      <w:pPr>
        <w:pStyle w:val="Heading1"/>
        <w:widowControl/>
      </w:pPr>
      <w:r>
        <w:rPr>
          <w:rFonts w:ascii="Calibri" w:hAnsi="Calibri"/>
        </w:rPr>
        <w:t>References</w:t>
      </w:r>
    </w:p>
    <w:p>
      <w:pPr>
        <w:spacing w:after="100"/>
        <w:ind w:left="360" w:hanging="360"/>
      </w:pPr>
      <w:r>
        <w:rPr>
          <w:rFonts w:ascii="Calibri" w:hAnsi="Calibri"/>
          <w:b/>
        </w:rPr>
        <w:t xml:space="preserve">[1] </w:t>
      </w:r>
      <w:hyperlink r:id="rId13">
        <w:r>
          <w:rPr>
            <w:color w:val="2E74B5"/>
            <w:u w:val="single"/>
            <w:rFonts w:ascii="Calibri" w:hAnsi="Calibri"/>
          </w:rPr>
          <w:t>Chrome DevTools Protocol, Accessibility domain</w:t>
        </w:r>
      </w:hyperlink>
      <w:r>
        <w:rPr>
          <w:rFonts w:ascii="Calibri" w:hAnsi="Calibri"/>
        </w:rPr>
        <w:t>. Accessed 23 August 2026.</w:t>
      </w:r>
    </w:p>
    <w:p>
      <w:pPr>
        <w:spacing w:after="100"/>
        <w:ind w:left="360" w:hanging="360"/>
      </w:pPr>
      <w:r>
        <w:rPr>
          <w:rFonts w:ascii="Calibri" w:hAnsi="Calibri"/>
          <w:b/>
        </w:rPr>
        <w:t xml:space="preserve">[2] </w:t>
      </w:r>
      <w:hyperlink r:id="rId14">
        <w:r>
          <w:rPr>
            <w:color w:val="2E74B5"/>
            <w:u w:val="single"/>
            <w:rFonts w:ascii="Calibri" w:hAnsi="Calibri"/>
          </w:rPr>
          <w:t>Chrome DevTools Protocol, Emulation domain</w:t>
        </w:r>
      </w:hyperlink>
      <w:r>
        <w:rPr>
          <w:rFonts w:ascii="Calibri" w:hAnsi="Calibri"/>
        </w:rPr>
        <w:t>. Accessed 23 August 2026.</w:t>
      </w:r>
    </w:p>
    <w:p>
      <w:pPr>
        <w:spacing w:after="100"/>
        <w:ind w:left="360" w:hanging="360"/>
      </w:pPr>
      <w:r>
        <w:rPr>
          <w:rFonts w:ascii="Calibri" w:hAnsi="Calibri"/>
          <w:b/>
        </w:rPr>
        <w:t xml:space="preserve">[3] </w:t>
      </w:r>
      <w:hyperlink r:id="rId15">
        <w:r>
          <w:rPr>
            <w:color w:val="2E74B5"/>
            <w:u w:val="single"/>
            <w:rFonts w:ascii="Calibri" w:hAnsi="Calibri"/>
          </w:rPr>
          <w:t>W3C, Accessible Rich Internet Applications (WAI-ARIA) 1.2</w:t>
        </w:r>
      </w:hyperlink>
      <w:r>
        <w:rPr>
          <w:rFonts w:ascii="Calibri" w:hAnsi="Calibri"/>
        </w:rPr>
        <w:t>. Accessed 23 August 2026.</w:t>
      </w:r>
    </w:p>
    <w:p>
      <w:pPr>
        <w:spacing w:after="100"/>
        <w:ind w:left="360" w:hanging="360"/>
      </w:pPr>
      <w:r>
        <w:rPr>
          <w:rFonts w:ascii="Calibri" w:hAnsi="Calibri"/>
          <w:b/>
        </w:rPr>
        <w:t xml:space="preserve">[4] </w:t>
      </w:r>
      <w:hyperlink r:id="rId16">
        <w:r>
          <w:rPr>
            <w:color w:val="2E74B5"/>
            <w:u w:val="single"/>
            <w:rFonts w:ascii="Calibri" w:hAnsi="Calibri"/>
          </w:rPr>
          <w:t>Zek21, skynet-chrome-cdp repository</w:t>
        </w:r>
      </w:hyperlink>
      <w:r>
        <w:rPr>
          <w:rFonts w:ascii="Calibri" w:hAnsi="Calibri"/>
        </w:rPr>
        <w:t>. Accessed 23 August 2026.</w:t>
      </w:r>
    </w:p>
    <w:p>
      <w:pPr>
        <w:spacing w:after="100"/>
        <w:ind w:left="360" w:hanging="360"/>
      </w:pPr>
      <w:r>
        <w:rPr>
          <w:rFonts w:ascii="Calibri" w:hAnsi="Calibri"/>
          <w:b/>
        </w:rPr>
        <w:t xml:space="preserve">[5] </w:t>
      </w:r>
      <w:hyperlink r:id="rId17">
        <w:r>
          <w:rPr>
            <w:color w:val="2E74B5"/>
            <w:u w:val="single"/>
            <w:rFonts w:ascii="Calibri" w:hAnsi="Calibri"/>
          </w:rPr>
          <w:t>Cross-machine results at the frozen commit</w:t>
        </w:r>
      </w:hyperlink>
      <w:r>
        <w:rPr>
          <w:rFonts w:ascii="Calibri" w:hAnsi="Calibri"/>
        </w:rPr>
        <w:t>. Accessed 23 August 2026.</w:t>
      </w:r>
    </w:p>
    <w:p>
      <w:pPr>
        <w:spacing w:after="100"/>
        <w:ind w:left="360" w:hanging="360"/>
      </w:pPr>
      <w:r>
        <w:rPr>
          <w:rFonts w:ascii="Calibri" w:hAnsi="Calibri"/>
          <w:b/>
        </w:rPr>
        <w:t xml:space="preserve">[6] </w:t>
      </w:r>
      <w:hyperlink r:id="rId18">
        <w:r>
          <w:rPr>
            <w:color w:val="2E74B5"/>
            <w:u w:val="single"/>
            <w:rFonts w:ascii="Calibri" w:hAnsi="Calibri"/>
          </w:rPr>
          <w:t>Standalone benchmark v2.0.0 at the frozen commit</w:t>
        </w:r>
      </w:hyperlink>
      <w:r>
        <w:rPr>
          <w:rFonts w:ascii="Calibri" w:hAnsi="Calibri"/>
        </w:rPr>
        <w:t>. Accessed 23 August 2026.</w:t>
      </w:r>
    </w:p>
    <w:p>
      <w:pPr>
        <w:spacing w:after="100"/>
        <w:ind w:left="360" w:hanging="360"/>
      </w:pPr>
      <w:r>
        <w:rPr>
          <w:rFonts w:ascii="Calibri" w:hAnsi="Calibri"/>
          <w:b/>
        </w:rPr>
        <w:t xml:space="preserve">[7] </w:t>
      </w:r>
      <w:hyperlink r:id="rId19">
        <w:r>
          <w:rPr>
            <w:color w:val="2E74B5"/>
            <w:u w:val="single"/>
            <w:rFonts w:ascii="Calibri" w:hAnsi="Calibri"/>
          </w:rPr>
          <w:t>Reader-facing article and live research-package record</w:t>
        </w:r>
      </w:hyperlink>
      <w:r>
        <w:rPr>
          <w:rFonts w:ascii="Calibri" w:hAnsi="Calibri"/>
        </w:rPr>
        <w:t>. Accessed 23 August 2026.</w:t>
      </w:r>
    </w:p>
    <w:p>
      <w:pPr>
        <w:pStyle w:val="Heading1"/>
        <w:widowControl/>
      </w:pPr>
      <w:r>
        <w:rPr>
          <w:rFonts w:ascii="Calibri" w:hAnsi="Calibri"/>
        </w:rPr>
        <w:t>Author note</w:t>
      </w:r>
    </w:p>
    <w:p>
      <w:pPr>
        <w:widowControl/>
      </w:pPr>
      <w:r>
        <w:rPr>
          <w:rFonts w:ascii="Calibri" w:hAnsi="Calibri"/>
        </w:rPr>
        <w:t>Exzil Calanza is an independent researcher and software builder in Iloilo City, Philippines. Research engineering, artifact assembly, and guarded publication were performed through Skynet under his direction. The public article carries the reader-facing explanation and the same artifact-integrity record.</w:t>
      </w:r>
    </w:p>
    <w:p>
      <w:hyperlink r:id="rId19">
        <w:r>
          <w:rPr>
            <w:color w:val="2E74B5"/>
            <w:u w:val="single"/>
            <w:rFonts w:ascii="Calibri" w:hAnsi="Calibri"/>
          </w:rPr>
          <w:t>Open the companion Platform article</w:t>
        </w:r>
      </w:hyperlink>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Calibri" w:hAnsi="Calibri"/>
        <w:color w:val="55606E"/>
        <w:sz w:val="17"/>
      </w:rPr>
      <w:t xml:space="preserve">Independent research preprint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color w:val="55606E"/>
        <w:sz w:val="17"/>
      </w:rPr>
      <w:t>Accessibility-tree benchmark controls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80" w:after="160"/>
    </w:pPr>
    <w:rPr>
      <w:rFonts w:ascii="Calibri" w:hAnsi="Calibri"/>
      <w:b/>
      <w:bCs/>
      <w:i/>
      <w:color w:val="55606E"/>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pPr>
      <w:spacing w:after="160" w:line="276"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github.com/Zek21/skynet-chrome-cdp/tree/d19cd02227979b70596dbc440e06f1e08a52e659" TargetMode="External"/><Relationship Id="rId12" Type="http://schemas.openxmlformats.org/officeDocument/2006/relationships/image" Target="media/image1.png"/><Relationship Id="rId13" Type="http://schemas.openxmlformats.org/officeDocument/2006/relationships/hyperlink" Target="https://chromedevtools.github.io/devtools-protocol/tot/Accessibility/" TargetMode="External"/><Relationship Id="rId14" Type="http://schemas.openxmlformats.org/officeDocument/2006/relationships/hyperlink" Target="https://chromedevtools.github.io/devtools-protocol/tot/Emulation/" TargetMode="External"/><Relationship Id="rId15" Type="http://schemas.openxmlformats.org/officeDocument/2006/relationships/hyperlink" Target="https://www.w3.org/TR/wai-aria-1.2/" TargetMode="External"/><Relationship Id="rId16" Type="http://schemas.openxmlformats.org/officeDocument/2006/relationships/hyperlink" Target="https://github.com/Zek21/skynet-chrome-cdp" TargetMode="External"/><Relationship Id="rId17" Type="http://schemas.openxmlformats.org/officeDocument/2006/relationships/hyperlink" Target="https://github.com/Zek21/skynet-chrome-cdp/blob/d19cd02227979b70596dbc440e06f1e08a52e659/benchmarks/results/CROSS_MACHINE.md" TargetMode="External"/><Relationship Id="rId18" Type="http://schemas.openxmlformats.org/officeDocument/2006/relationships/hyperlink" Target="https://github.com/Zek21/skynet-chrome-cdp/blob/d19cd02227979b70596dbc440e06f1e08a52e659/benchmarks/standalone_benchmark.py" TargetMode="External"/><Relationship Id="rId19" Type="http://schemas.openxmlformats.org/officeDocument/2006/relationships/hyperlink" Target="https://exzilcalanza.info/accessibility-tree-node-counts-not-machine-comparable-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Controls for Accessibility-Tree Node-Count Benchmarks</dc:title>
  <dc:subject>Independent field study of accessibility-tree node-count comparability</dc:subject>
  <dc:creator>Exzil Calanza</dc:creator>
  <cp:keywords>accessibility tree; Chrome DevTools Protocol; browser instrumentation; benchmark comparability; InlineTextBox; reproducible evaluation</cp:keywords>
  <dc:description>Independent research preprint - not peer reviewed</dc:description>
  <cp:lastModifiedBy/>
  <cp:revision>1</cp:revision>
  <dcterms:created xsi:type="dcterms:W3CDTF">2013-12-23T23:15:00Z</dcterms:created>
  <dcterms:modified xsi:type="dcterms:W3CDTF">2013-12-23T23:15:00Z</dcterms:modified>
  <cp:category/>
</cp:coreProperties>
</file>